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30A9B0C" w:rsidR="00E66558" w:rsidRPr="000B64E9" w:rsidRDefault="000B64E9">
            <w:pPr>
              <w:pStyle w:val="TableRow"/>
              <w:rPr>
                <w:b/>
                <w:color w:val="auto"/>
              </w:rPr>
            </w:pPr>
            <w:r>
              <w:rPr>
                <w:b/>
                <w:color w:val="auto"/>
              </w:rPr>
              <w:t>Hunmanby Primary School</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08BEF6" w:rsidR="00E66558" w:rsidRPr="00E27862" w:rsidRDefault="00E66558">
            <w:pPr>
              <w:pStyle w:val="TableRow"/>
              <w:rPr>
                <w:color w:val="auto"/>
              </w:rPr>
            </w:pPr>
          </w:p>
        </w:tc>
      </w:tr>
      <w:tr w:rsidR="000B64E9"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0B64E9" w:rsidRPr="00E27862" w:rsidRDefault="000B64E9" w:rsidP="000B64E9">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4134F49" w:rsidR="000B64E9" w:rsidRPr="00E27862" w:rsidRDefault="000B64E9" w:rsidP="000B64E9">
            <w:pPr>
              <w:pStyle w:val="TableRow"/>
              <w:rPr>
                <w:color w:val="auto"/>
              </w:rPr>
            </w:pPr>
            <w:r>
              <w:t>253</w:t>
            </w:r>
          </w:p>
        </w:tc>
      </w:tr>
      <w:tr w:rsidR="000B64E9"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0B64E9" w:rsidRPr="00E27862" w:rsidRDefault="000B64E9" w:rsidP="000B64E9">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3D58F31" w:rsidR="000B64E9" w:rsidRPr="00E27862" w:rsidRDefault="000B64E9" w:rsidP="000B64E9">
            <w:pPr>
              <w:pStyle w:val="TableRow"/>
              <w:rPr>
                <w:color w:val="auto"/>
              </w:rPr>
            </w:pPr>
            <w:r>
              <w:t>29%</w:t>
            </w:r>
          </w:p>
        </w:tc>
      </w:tr>
      <w:tr w:rsidR="000B64E9"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0B64E9" w:rsidRPr="00E27862" w:rsidRDefault="000B64E9" w:rsidP="000B64E9">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2E32551" w:rsidR="000B64E9" w:rsidRPr="00E27862" w:rsidRDefault="000B64E9" w:rsidP="000B64E9">
            <w:pPr>
              <w:pStyle w:val="TableRow"/>
              <w:rPr>
                <w:color w:val="auto"/>
              </w:rPr>
            </w:pPr>
            <w:r>
              <w:t>2021-22 to 2024/25</w:t>
            </w:r>
          </w:p>
        </w:tc>
      </w:tr>
      <w:tr w:rsidR="000B64E9"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0B64E9" w:rsidRPr="00E27862" w:rsidRDefault="000B64E9" w:rsidP="000B64E9">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F1B5815" w:rsidR="000B64E9" w:rsidRPr="00E27862" w:rsidRDefault="000B64E9" w:rsidP="000B64E9">
            <w:pPr>
              <w:pStyle w:val="TableRow"/>
              <w:rPr>
                <w:color w:val="auto"/>
              </w:rPr>
            </w:pPr>
            <w:r>
              <w:t>January 2022</w:t>
            </w:r>
          </w:p>
        </w:tc>
      </w:tr>
      <w:tr w:rsidR="000B64E9"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0B64E9" w:rsidRPr="00E27862" w:rsidRDefault="000B64E9" w:rsidP="000B64E9">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70F1EA8" w:rsidR="000B64E9" w:rsidRPr="00E27862" w:rsidRDefault="000B64E9" w:rsidP="000B64E9">
            <w:pPr>
              <w:pStyle w:val="TableRow"/>
              <w:rPr>
                <w:color w:val="auto"/>
              </w:rPr>
            </w:pPr>
            <w:r>
              <w:t>July 2022</w:t>
            </w:r>
          </w:p>
        </w:tc>
      </w:tr>
      <w:tr w:rsidR="000B64E9"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0B64E9" w:rsidRPr="00E27862" w:rsidRDefault="000B64E9" w:rsidP="000B64E9">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E4C6" w14:textId="77777777" w:rsidR="000B64E9" w:rsidRDefault="000B64E9" w:rsidP="000B64E9">
            <w:pPr>
              <w:pStyle w:val="TableRow"/>
            </w:pPr>
            <w:r>
              <w:t>Conrad Fox</w:t>
            </w:r>
          </w:p>
          <w:p w14:paraId="2A7D54CB" w14:textId="01B086A8" w:rsidR="000B64E9" w:rsidRPr="00E27862" w:rsidRDefault="000B64E9" w:rsidP="000B64E9">
            <w:pPr>
              <w:pStyle w:val="TableRow"/>
              <w:rPr>
                <w:color w:val="auto"/>
              </w:rPr>
            </w:pPr>
            <w:r>
              <w:t>Headteacher</w:t>
            </w:r>
          </w:p>
        </w:tc>
      </w:tr>
      <w:tr w:rsidR="000B64E9"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0B64E9" w:rsidRPr="00E27862" w:rsidRDefault="000B64E9" w:rsidP="000B64E9">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7EEB" w14:textId="77777777" w:rsidR="000B64E9" w:rsidRDefault="000B64E9" w:rsidP="000B64E9">
            <w:pPr>
              <w:pStyle w:val="TableRow"/>
            </w:pPr>
            <w:r>
              <w:t>Conrad Fox</w:t>
            </w:r>
          </w:p>
          <w:p w14:paraId="2A7D54CE" w14:textId="3553FDCD" w:rsidR="000B64E9" w:rsidRPr="00E27862" w:rsidRDefault="000B64E9" w:rsidP="000B64E9">
            <w:pPr>
              <w:pStyle w:val="TableRow"/>
              <w:rPr>
                <w:color w:val="auto"/>
              </w:rPr>
            </w:pPr>
            <w:r>
              <w:t>Headteacher</w:t>
            </w:r>
          </w:p>
        </w:tc>
      </w:tr>
      <w:tr w:rsidR="000B64E9"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0B64E9" w:rsidRPr="00E27862" w:rsidRDefault="000B64E9" w:rsidP="000B64E9">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78C3" w14:textId="77777777" w:rsidR="000B64E9" w:rsidRDefault="000B64E9" w:rsidP="000B64E9">
            <w:pPr>
              <w:pStyle w:val="TableRow"/>
            </w:pPr>
            <w:r>
              <w:t xml:space="preserve">Louise </w:t>
            </w:r>
            <w:proofErr w:type="spellStart"/>
            <w:r>
              <w:t>Stanway</w:t>
            </w:r>
            <w:proofErr w:type="spellEnd"/>
          </w:p>
          <w:p w14:paraId="2A7D54D1" w14:textId="14F1C222" w:rsidR="000B64E9" w:rsidRPr="00E27862" w:rsidRDefault="000B64E9" w:rsidP="000B64E9">
            <w:pPr>
              <w:pStyle w:val="TableRow"/>
              <w:rPr>
                <w:color w:val="auto"/>
                <w:szCs w:val="28"/>
              </w:rPr>
            </w:pPr>
            <w:r>
              <w:t>Governor Lead for Disadvantaged Pupils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0B64E9"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0B64E9" w:rsidRPr="00E27862" w:rsidRDefault="000B64E9" w:rsidP="000B64E9">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A108560" w:rsidR="000B64E9" w:rsidRPr="00E27862" w:rsidRDefault="000B64E9" w:rsidP="000B64E9">
            <w:pPr>
              <w:pStyle w:val="TableRow"/>
              <w:rPr>
                <w:color w:val="auto"/>
              </w:rPr>
            </w:pPr>
            <w:r>
              <w:t>£84,425</w:t>
            </w:r>
          </w:p>
        </w:tc>
      </w:tr>
      <w:tr w:rsidR="000B64E9"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0B64E9" w:rsidRPr="00E27862" w:rsidRDefault="000B64E9" w:rsidP="000B64E9">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6D99B7F" w:rsidR="000B64E9" w:rsidRPr="00E27862" w:rsidRDefault="000B64E9" w:rsidP="000B64E9">
            <w:pPr>
              <w:pStyle w:val="TableRow"/>
              <w:rPr>
                <w:color w:val="auto"/>
              </w:rPr>
            </w:pPr>
            <w:r>
              <w:t>£6,899</w:t>
            </w:r>
          </w:p>
        </w:tc>
      </w:tr>
      <w:tr w:rsidR="000B64E9"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0B64E9" w:rsidRPr="00E27862" w:rsidRDefault="000B64E9" w:rsidP="000B64E9">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2F5F5C" w:rsidR="000B64E9" w:rsidRPr="00E27862" w:rsidRDefault="000B64E9" w:rsidP="000B64E9">
            <w:pPr>
              <w:pStyle w:val="TableRow"/>
              <w:rPr>
                <w:color w:val="auto"/>
              </w:rPr>
            </w:pPr>
            <w:r>
              <w:t>£0</w:t>
            </w:r>
          </w:p>
        </w:tc>
      </w:tr>
      <w:tr w:rsidR="000B64E9"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0B64E9" w:rsidRPr="00E27862" w:rsidRDefault="000B64E9" w:rsidP="000B64E9">
            <w:pPr>
              <w:pStyle w:val="TableRow"/>
              <w:rPr>
                <w:b/>
                <w:color w:val="auto"/>
              </w:rPr>
            </w:pPr>
            <w:r w:rsidRPr="00E27862">
              <w:rPr>
                <w:b/>
                <w:color w:val="auto"/>
              </w:rPr>
              <w:t>Total budget for this academic year</w:t>
            </w:r>
          </w:p>
          <w:p w14:paraId="2A7D54E1" w14:textId="691D3173" w:rsidR="00F80777" w:rsidRDefault="000B64E9" w:rsidP="000B64E9">
            <w:pPr>
              <w:pStyle w:val="TableRow"/>
              <w:rPr>
                <w:color w:val="auto"/>
              </w:rPr>
            </w:pPr>
            <w:r w:rsidRPr="00E27862">
              <w:rPr>
                <w:color w:val="auto"/>
              </w:rPr>
              <w:t>If your school is an academy in a trust that pools this funding, state the amount available to your school this academic year</w:t>
            </w:r>
          </w:p>
          <w:p w14:paraId="1FFF004A" w14:textId="617928FB" w:rsidR="000B64E9" w:rsidRPr="00F80777" w:rsidRDefault="00F80777" w:rsidP="00F80777">
            <w:pPr>
              <w:tabs>
                <w:tab w:val="left" w:pos="4455"/>
              </w:tabs>
            </w:pPr>
            <w:r>
              <w:tab/>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56A0897" w:rsidR="000B64E9" w:rsidRPr="00E27862" w:rsidRDefault="000B64E9" w:rsidP="000B64E9">
            <w:pPr>
              <w:pStyle w:val="TableRow"/>
              <w:rPr>
                <w:color w:val="auto"/>
              </w:rPr>
            </w:pPr>
            <w:r>
              <w:t>£91,324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w:t>
            </w:r>
            <w:proofErr w:type="spellStart"/>
            <w:r w:rsidR="00742FDB" w:rsidRPr="00E27862">
              <w:rPr>
                <w:rFonts w:cs="Arial"/>
                <w:iCs/>
                <w:color w:val="auto"/>
                <w:lang w:val="en-US"/>
              </w:rPr>
              <w:t>attainers</w:t>
            </w:r>
            <w:proofErr w:type="spellEnd"/>
            <w:r w:rsidR="00742FDB" w:rsidRPr="00E27862">
              <w:rPr>
                <w:rFonts w:cs="Arial"/>
                <w:iCs/>
                <w:color w:val="auto"/>
                <w:lang w:val="en-US"/>
              </w:rPr>
              <w:t xml:space="preserve">. </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74F44500" w:rsidR="00B34469" w:rsidRPr="00E27862" w:rsidRDefault="00B34469" w:rsidP="00C009DA">
            <w:pPr>
              <w:rPr>
                <w:rFonts w:cs="Arial"/>
                <w:color w:val="auto"/>
              </w:rPr>
            </w:pPr>
            <w:r w:rsidRPr="00E27862">
              <w:rPr>
                <w:rFonts w:cs="Arial"/>
                <w:color w:val="auto"/>
              </w:rPr>
              <w:t>Our strategy is also integral to wider school plans for education recovery,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7A570E" w:rsidRPr="00E27862">
              <w:rPr>
                <w:rFonts w:cs="Arial"/>
                <w:color w:val="auto"/>
              </w:rPr>
              <w:t xml:space="preserve"> the </w:t>
            </w:r>
            <w:proofErr w:type="spellStart"/>
            <w:r w:rsidR="000B64E9">
              <w:rPr>
                <w:rFonts w:cs="Arial"/>
                <w:color w:val="auto"/>
              </w:rPr>
              <w:t>Covid</w:t>
            </w:r>
            <w:proofErr w:type="spellEnd"/>
            <w:r w:rsidR="000B64E9">
              <w:rPr>
                <w:rFonts w:cs="Arial"/>
                <w:color w:val="auto"/>
              </w:rPr>
              <w:t xml:space="preserve"> Catch-up Premium </w:t>
            </w:r>
            <w:r w:rsidRPr="00E27862">
              <w:rPr>
                <w:rFonts w:cs="Arial"/>
                <w:color w:val="auto"/>
              </w:rPr>
              <w:t xml:space="preserve">for pupils whose education has been worst affected, including non-disadvantaged pupils.    </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0B5EFF4B"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C7D88A" w:rsidR="00E66558" w:rsidRPr="00E27862"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66DC762E" w:rsidR="00B85F1E" w:rsidRPr="00E27862" w:rsidRDefault="001C341C" w:rsidP="003B4869">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w:t>
            </w:r>
            <w:proofErr w:type="spellStart"/>
            <w:r w:rsidR="00BB56CA" w:rsidRPr="00E27862">
              <w:rPr>
                <w:iCs/>
                <w:color w:val="auto"/>
                <w:lang w:val="en-US"/>
              </w:rPr>
              <w:t>math</w:t>
            </w:r>
            <w:r w:rsidR="009E5C04" w:rsidRPr="00E27862">
              <w:rPr>
                <w:iCs/>
                <w:color w:val="auto"/>
                <w:lang w:val="en-US"/>
              </w:rPr>
              <w:t>s</w:t>
            </w:r>
            <w:proofErr w:type="spellEnd"/>
            <w:r w:rsidR="00BB56CA" w:rsidRPr="00E27862">
              <w:rPr>
                <w:iCs/>
                <w:color w:val="auto"/>
                <w:lang w:val="en-US"/>
              </w:rPr>
              <w:t xml:space="preserve">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14:paraId="45B362A7" w14:textId="14A7B6D8" w:rsidR="00AB4DFD" w:rsidRPr="00E27862" w:rsidRDefault="00BB5A4F" w:rsidP="00A47A43">
            <w:pPr>
              <w:suppressAutoHyphens w:val="0"/>
              <w:autoSpaceDN/>
              <w:spacing w:before="60" w:after="120" w:line="240" w:lineRule="auto"/>
              <w:ind w:left="57" w:right="57"/>
              <w:rPr>
                <w:iCs/>
                <w:color w:val="auto"/>
                <w:lang w:val="en-US"/>
              </w:rPr>
            </w:pPr>
            <w:r w:rsidRPr="00A47A43">
              <w:rPr>
                <w:rFonts w:cs="Arial"/>
                <w:iCs/>
                <w:color w:val="auto"/>
                <w:lang w:val="en-US" w:eastAsia="en-US"/>
              </w:rPr>
              <w:t>O</w:t>
            </w:r>
            <w:r w:rsidR="00AB4DFD" w:rsidRPr="00A47A43">
              <w:rPr>
                <w:rFonts w:cs="Arial"/>
                <w:iCs/>
                <w:color w:val="auto"/>
                <w:lang w:val="en-US" w:eastAsia="en-US"/>
              </w:rPr>
              <w:t>n</w:t>
            </w:r>
            <w:r w:rsidR="00A47A43" w:rsidRPr="00A47A43">
              <w:rPr>
                <w:rFonts w:cs="Arial"/>
                <w:iCs/>
                <w:color w:val="auto"/>
                <w:lang w:val="en-US" w:eastAsia="en-US"/>
              </w:rPr>
              <w:t xml:space="preserve"> entry to Reception class in this year</w:t>
            </w:r>
            <w:r w:rsidRPr="00A47A43">
              <w:rPr>
                <w:rFonts w:cs="Arial"/>
                <w:iCs/>
                <w:color w:val="auto"/>
                <w:lang w:val="en-US" w:eastAsia="en-US"/>
              </w:rPr>
              <w:t>,</w:t>
            </w:r>
            <w:r w:rsidR="00A47A43" w:rsidRPr="00A47A43">
              <w:rPr>
                <w:rFonts w:cs="Arial"/>
                <w:iCs/>
                <w:color w:val="auto"/>
                <w:lang w:val="en-US" w:eastAsia="en-US"/>
              </w:rPr>
              <w:t xml:space="preserve"> between 83</w:t>
            </w:r>
            <w:r w:rsidR="00AB4DFD" w:rsidRPr="00A47A43">
              <w:rPr>
                <w:rFonts w:cs="Arial"/>
                <w:iCs/>
                <w:color w:val="auto"/>
                <w:lang w:val="en-US" w:eastAsia="en-US"/>
              </w:rPr>
              <w:t>%</w:t>
            </w:r>
            <w:r w:rsidR="006F3736">
              <w:rPr>
                <w:rFonts w:cs="Arial"/>
                <w:iCs/>
                <w:color w:val="auto"/>
                <w:lang w:val="en-US" w:eastAsia="en-US"/>
              </w:rPr>
              <w:t xml:space="preserve"> (5</w:t>
            </w:r>
            <w:r w:rsidR="00A47A43" w:rsidRPr="00A47A43">
              <w:rPr>
                <w:rFonts w:cs="Arial"/>
                <w:iCs/>
                <w:color w:val="auto"/>
                <w:lang w:val="en-US" w:eastAsia="en-US"/>
              </w:rPr>
              <w:t xml:space="preserve"> out of 6 children)</w:t>
            </w:r>
            <w:r w:rsidR="00AB4DFD" w:rsidRPr="00A47A43">
              <w:rPr>
                <w:rFonts w:cs="Arial"/>
                <w:iCs/>
                <w:color w:val="auto"/>
                <w:lang w:val="en-US" w:eastAsia="en-US"/>
              </w:rPr>
              <w:t xml:space="preserve"> of our disadvantaged pupils arrive below age-relate</w:t>
            </w:r>
            <w:r w:rsidR="00A47A43" w:rsidRPr="00A47A43">
              <w:rPr>
                <w:rFonts w:cs="Arial"/>
                <w:iCs/>
                <w:color w:val="auto"/>
                <w:lang w:val="en-US" w:eastAsia="en-US"/>
              </w:rPr>
              <w:t>d expectations compared to 56</w:t>
            </w:r>
            <w:r w:rsidR="00AB4DFD" w:rsidRPr="00A47A43">
              <w:rPr>
                <w:rFonts w:cs="Arial"/>
                <w:iCs/>
                <w:color w:val="auto"/>
                <w:lang w:val="en-US" w:eastAsia="en-US"/>
              </w:rPr>
              <w:t xml:space="preserve">% of other pupils. This gap </w:t>
            </w:r>
            <w:r w:rsidR="00D43CEF" w:rsidRPr="00A47A43">
              <w:rPr>
                <w:rFonts w:cs="Arial"/>
                <w:iCs/>
                <w:color w:val="auto"/>
                <w:lang w:val="en-US" w:eastAsia="en-US"/>
              </w:rPr>
              <w:t xml:space="preserve">remains steady </w:t>
            </w:r>
            <w:r w:rsidR="00A47A43" w:rsidRPr="00A47A43">
              <w:rPr>
                <w:rFonts w:cs="Arial"/>
                <w:iCs/>
                <w:color w:val="auto"/>
                <w:lang w:val="en-US" w:eastAsia="en-US"/>
              </w:rPr>
              <w:t>and gradually closes</w:t>
            </w:r>
            <w:r w:rsidR="00A47A43">
              <w:rPr>
                <w:rFonts w:cs="Arial"/>
                <w:iCs/>
                <w:color w:val="auto"/>
                <w:lang w:val="en-US" w:eastAsia="en-US"/>
              </w:rPr>
              <w:t xml:space="preserve"> </w:t>
            </w:r>
            <w:r w:rsidR="00D43CEF" w:rsidRPr="00A47A43">
              <w:rPr>
                <w:rFonts w:cs="Arial"/>
                <w:iCs/>
                <w:color w:val="auto"/>
                <w:lang w:val="en-US" w:eastAsia="en-US"/>
              </w:rPr>
              <w:t xml:space="preserve">to the end of </w:t>
            </w:r>
            <w:r w:rsidR="00AB4DFD" w:rsidRPr="00A47A43">
              <w:rPr>
                <w:rFonts w:cs="Arial"/>
                <w:iCs/>
                <w:color w:val="auto"/>
                <w:lang w:val="en-US" w:eastAsia="en-US"/>
              </w:rPr>
              <w:t>KS2.</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667903D7"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r w:rsidR="00815192">
              <w:rPr>
                <w:rFonts w:cs="Arial"/>
                <w:color w:val="auto"/>
              </w:rPr>
              <w:t xml:space="preserve"> and writing</w:t>
            </w:r>
            <w:r w:rsidR="001755B6" w:rsidRPr="00E27862">
              <w:rPr>
                <w:rFonts w:cs="Arial"/>
                <w:color w:val="auto"/>
              </w:rPr>
              <w:t>.</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32C24A53" w:rsidR="00C85B42" w:rsidRPr="00E27862" w:rsidRDefault="00815192" w:rsidP="00816DCA">
            <w:pPr>
              <w:suppressAutoHyphens w:val="0"/>
              <w:autoSpaceDN/>
              <w:spacing w:before="60" w:line="240" w:lineRule="auto"/>
              <w:ind w:left="57" w:right="57"/>
              <w:rPr>
                <w:rFonts w:cs="Arial"/>
                <w:iCs/>
                <w:color w:val="auto"/>
                <w:lang w:val="en-US"/>
              </w:rPr>
            </w:pPr>
            <w:r>
              <w:rPr>
                <w:rFonts w:cs="Arial"/>
                <w:iCs/>
                <w:color w:val="auto"/>
                <w:lang w:val="en-US"/>
              </w:rPr>
              <w:t xml:space="preserve">Our assessments and </w:t>
            </w:r>
            <w:r w:rsidR="00C85B42" w:rsidRPr="00E27862">
              <w:rPr>
                <w:rFonts w:cs="Arial"/>
                <w:iCs/>
                <w:color w:val="auto"/>
                <w:lang w:val="en-US"/>
              </w:rPr>
              <w:t xml:space="preserve">observations and discussions with pupils and families </w:t>
            </w:r>
            <w:r w:rsidR="00904EA4" w:rsidRPr="00E27862">
              <w:rPr>
                <w:rFonts w:cs="Arial"/>
                <w:iCs/>
                <w:color w:val="auto"/>
                <w:lang w:val="en-US"/>
              </w:rPr>
              <w:t xml:space="preserve">have </w:t>
            </w:r>
            <w:r w:rsidR="00C85B42" w:rsidRPr="00E27862">
              <w:rPr>
                <w:rFonts w:cs="Arial"/>
                <w:iCs/>
                <w:color w:val="auto"/>
                <w:lang w:val="en-US"/>
              </w:rPr>
              <w:t>identified social</w:t>
            </w:r>
            <w:r w:rsidR="00B24D93" w:rsidRPr="00E27862">
              <w:rPr>
                <w:rFonts w:cs="Arial"/>
                <w:iCs/>
                <w:color w:val="auto"/>
                <w:lang w:val="en-US"/>
              </w:rPr>
              <w:t xml:space="preserve"> and</w:t>
            </w:r>
            <w:r w:rsidR="00C85B42" w:rsidRPr="00E27862">
              <w:rPr>
                <w:rFonts w:cs="Arial"/>
                <w:iCs/>
                <w:color w:val="auto"/>
                <w:lang w:val="en-US"/>
              </w:rPr>
              <w:t xml:space="preserve"> emotional issues for many pupils</w:t>
            </w:r>
            <w:r>
              <w:rPr>
                <w:rFonts w:cs="Arial"/>
                <w:iCs/>
                <w:color w:val="auto"/>
                <w:lang w:val="en-US"/>
              </w:rPr>
              <w:t>, notably due to</w:t>
            </w:r>
            <w:r w:rsidR="00EB6DF7" w:rsidRPr="00E27862">
              <w:rPr>
                <w:rFonts w:cs="Arial"/>
                <w:iCs/>
                <w:color w:val="auto"/>
                <w:lang w:val="en-US"/>
              </w:rPr>
              <w:t xml:space="preserve">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0C4F677B" w:rsidR="00660FD3" w:rsidRPr="00E27862" w:rsidRDefault="00D1500F" w:rsidP="00CA52BB">
            <w:pPr>
              <w:suppressAutoHyphens w:val="0"/>
              <w:autoSpaceDN/>
              <w:spacing w:before="60" w:after="120" w:line="240" w:lineRule="auto"/>
              <w:ind w:left="57" w:right="57"/>
              <w:rPr>
                <w:rFonts w:cs="Arial"/>
                <w:color w:val="auto"/>
                <w:lang w:eastAsia="en-US"/>
              </w:rPr>
            </w:pPr>
            <w:r w:rsidRPr="00E27862">
              <w:rPr>
                <w:rFonts w:cs="Arial"/>
                <w:color w:val="auto"/>
                <w:lang w:eastAsia="en-US"/>
              </w:rPr>
              <w:t>Teacher referrals</w:t>
            </w:r>
            <w:r w:rsidR="00BE4E7F" w:rsidRPr="00E27862">
              <w:rPr>
                <w:rFonts w:cs="Arial"/>
                <w:color w:val="auto"/>
                <w:lang w:eastAsia="en-US"/>
              </w:rPr>
              <w:t xml:space="preserve"> for support have markedly increased during the pandemic. </w:t>
            </w:r>
            <w:r w:rsidR="007B76EF">
              <w:rPr>
                <w:rFonts w:cs="Arial"/>
                <w:color w:val="auto"/>
                <w:lang w:eastAsia="en-US"/>
              </w:rPr>
              <w:t>5</w:t>
            </w:r>
            <w:r w:rsidR="00C85B42" w:rsidRPr="00E27862">
              <w:rPr>
                <w:rFonts w:cs="Arial"/>
                <w:color w:val="auto"/>
                <w:lang w:eastAsia="en-US"/>
              </w:rPr>
              <w:t xml:space="preserve"> pupils </w:t>
            </w:r>
            <w:r w:rsidR="00316A25" w:rsidRPr="00E27862">
              <w:rPr>
                <w:rFonts w:cs="Arial"/>
                <w:color w:val="auto"/>
                <w:lang w:eastAsia="en-US"/>
              </w:rPr>
              <w:t>(</w:t>
            </w:r>
            <w:r w:rsidR="007B76EF">
              <w:rPr>
                <w:rFonts w:cs="Arial"/>
                <w:color w:val="auto"/>
                <w:lang w:eastAsia="en-US"/>
              </w:rPr>
              <w:t>5</w:t>
            </w:r>
            <w:r w:rsidR="00316A25" w:rsidRPr="00E27862">
              <w:rPr>
                <w:rFonts w:cs="Arial"/>
                <w:color w:val="auto"/>
                <w:lang w:eastAsia="en-US"/>
              </w:rPr>
              <w:t xml:space="preserve"> of whom are disadvantaged) </w:t>
            </w:r>
            <w:r w:rsidRPr="00E27862">
              <w:rPr>
                <w:rFonts w:cs="Arial"/>
                <w:color w:val="auto"/>
                <w:lang w:eastAsia="en-US"/>
              </w:rPr>
              <w:t>currently require</w:t>
            </w:r>
            <w:r w:rsidR="00C85B42" w:rsidRPr="00E27862">
              <w:rPr>
                <w:rFonts w:cs="Arial"/>
                <w:color w:val="auto"/>
                <w:lang w:eastAsia="en-US"/>
              </w:rPr>
              <w:t xml:space="preserve"> additional support with social and emotional needs</w:t>
            </w:r>
            <w:r w:rsidR="00815192">
              <w:rPr>
                <w:rFonts w:cs="Arial"/>
                <w:color w:val="auto"/>
                <w:lang w:eastAsia="en-US"/>
              </w:rPr>
              <w:t xml:space="preserve"> from agencies such as early Help</w:t>
            </w:r>
            <w:r w:rsidR="00C85B42" w:rsidRPr="00E27862">
              <w:rPr>
                <w:rFonts w:cs="Arial"/>
                <w:color w:val="auto"/>
                <w:lang w:eastAsia="en-US"/>
              </w:rPr>
              <w:t xml:space="preserve">, with </w:t>
            </w:r>
            <w:r w:rsidR="007B76EF">
              <w:rPr>
                <w:rFonts w:cs="Arial"/>
                <w:color w:val="auto"/>
                <w:lang w:eastAsia="en-US"/>
              </w:rPr>
              <w:t>40</w:t>
            </w:r>
            <w:r w:rsidR="00EF7F5E" w:rsidRPr="00E27862">
              <w:rPr>
                <w:rFonts w:cs="Arial"/>
                <w:color w:val="auto"/>
                <w:lang w:eastAsia="en-US"/>
              </w:rPr>
              <w:t xml:space="preserve"> (</w:t>
            </w:r>
            <w:r w:rsidR="007B76EF">
              <w:rPr>
                <w:rFonts w:cs="Arial"/>
                <w:color w:val="auto"/>
                <w:lang w:eastAsia="en-US"/>
              </w:rPr>
              <w:t>almost 50%</w:t>
            </w:r>
            <w:r w:rsidR="0065367D" w:rsidRPr="00E27862">
              <w:rPr>
                <w:rFonts w:cs="Arial"/>
                <w:color w:val="auto"/>
                <w:lang w:eastAsia="en-US"/>
              </w:rPr>
              <w:t xml:space="preserve"> of whom are disadvantaged</w:t>
            </w:r>
            <w:r w:rsidR="00311FB0" w:rsidRPr="00E27862">
              <w:rPr>
                <w:rFonts w:cs="Arial"/>
                <w:color w:val="auto"/>
                <w:lang w:eastAsia="en-US"/>
              </w:rPr>
              <w:t>)</w:t>
            </w:r>
            <w:r w:rsidR="00C85B42" w:rsidRPr="00E27862">
              <w:rPr>
                <w:rFonts w:cs="Arial"/>
                <w:color w:val="auto"/>
                <w:lang w:eastAsia="en-US"/>
              </w:rPr>
              <w:t xml:space="preserve"> receiving small group interventions.</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3529D4">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3A424B68" w:rsidR="001502A9" w:rsidRPr="00581990" w:rsidRDefault="001502A9" w:rsidP="001502A9">
            <w:pPr>
              <w:suppressAutoHyphens w:val="0"/>
              <w:autoSpaceDN/>
              <w:spacing w:before="60" w:after="120" w:line="240" w:lineRule="auto"/>
              <w:ind w:left="57" w:right="57"/>
              <w:rPr>
                <w:rFonts w:cs="Arial"/>
                <w:iCs/>
                <w:color w:val="auto"/>
                <w:lang w:val="en-US"/>
              </w:rPr>
            </w:pPr>
            <w:r w:rsidRPr="00581990">
              <w:rPr>
                <w:rFonts w:cs="Arial"/>
                <w:iCs/>
                <w:color w:val="auto"/>
                <w:lang w:val="en-US"/>
              </w:rPr>
              <w:t>Our</w:t>
            </w:r>
            <w:r w:rsidR="007B76EF">
              <w:rPr>
                <w:rFonts w:cs="Arial"/>
                <w:iCs/>
                <w:color w:val="auto"/>
                <w:lang w:val="en-US"/>
              </w:rPr>
              <w:t xml:space="preserve"> attendance data </w:t>
            </w:r>
            <w:r w:rsidR="001F459B">
              <w:rPr>
                <w:rFonts w:cs="Arial"/>
                <w:iCs/>
                <w:color w:val="auto"/>
                <w:lang w:val="en-US"/>
              </w:rPr>
              <w:t>from 2018/19</w:t>
            </w:r>
            <w:r w:rsidRPr="00581990">
              <w:rPr>
                <w:rFonts w:cs="Arial"/>
                <w:iCs/>
                <w:color w:val="auto"/>
                <w:lang w:val="en-US"/>
              </w:rPr>
              <w:t xml:space="preserve"> indicates that attendance among disadvantag</w:t>
            </w:r>
            <w:r w:rsidR="001F459B">
              <w:rPr>
                <w:rFonts w:cs="Arial"/>
                <w:iCs/>
                <w:color w:val="auto"/>
                <w:lang w:val="en-US"/>
              </w:rPr>
              <w:t>ed pupils has been between 4</w:t>
            </w:r>
            <w:r w:rsidRPr="00581990">
              <w:rPr>
                <w:rFonts w:cs="Arial"/>
                <w:iCs/>
                <w:color w:val="auto"/>
                <w:lang w:val="en-US"/>
              </w:rPr>
              <w:t>% lower than for non-disadvantaged pupils.</w:t>
            </w:r>
          </w:p>
          <w:p w14:paraId="24F44499" w14:textId="11B9FDDD" w:rsidR="00B92D62" w:rsidRPr="00E27862" w:rsidRDefault="001502A9" w:rsidP="001502A9">
            <w:pPr>
              <w:suppressAutoHyphens w:val="0"/>
              <w:autoSpaceDN/>
              <w:spacing w:before="60" w:after="120" w:line="240" w:lineRule="auto"/>
              <w:ind w:left="57" w:right="57"/>
              <w:rPr>
                <w:rFonts w:cs="Arial"/>
                <w:iCs/>
                <w:color w:val="auto"/>
                <w:lang w:val="en-US"/>
              </w:rPr>
            </w:pPr>
            <w:r w:rsidRPr="00581990">
              <w:rPr>
                <w:rFonts w:cs="Arial"/>
                <w:iCs/>
                <w:color w:val="auto"/>
                <w:lang w:val="en-US"/>
              </w:rPr>
              <w:t>Our assessments and observations indicate that absenteeism is negatively impacting disadvantaged pupils’ progress.</w:t>
            </w:r>
          </w:p>
        </w:tc>
      </w:tr>
    </w:tbl>
    <w:p w14:paraId="629611EF" w14:textId="77777777" w:rsidR="009167F6" w:rsidRDefault="009167F6">
      <w:pPr>
        <w:pStyle w:val="Heading2"/>
        <w:spacing w:before="600"/>
      </w:pPr>
    </w:p>
    <w:p w14:paraId="2A7D54FF" w14:textId="4742A3E3"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0AF1E7EC"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4B0492">
              <w:rPr>
                <w:rFonts w:cs="Arial"/>
                <w:color w:val="auto"/>
                <w:lang w:eastAsia="en-US"/>
              </w:rPr>
              <w:t>70</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EBC9A0C"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4B0492">
              <w:rPr>
                <w:rStyle w:val="CommentReference"/>
                <w:color w:val="auto"/>
              </w:rPr>
              <w:t>70</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78211AD"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19782E" w:rsidRPr="00E27862">
              <w:rPr>
                <w:rFonts w:cs="Arial"/>
                <w:color w:val="auto"/>
              </w:rPr>
              <w:t xml:space="preserve">from 2024/25 </w:t>
            </w:r>
            <w:r w:rsidRPr="00E27862">
              <w:rPr>
                <w:rFonts w:cs="Arial"/>
                <w:color w:val="auto"/>
              </w:rPr>
              <w:t>demonstrated by:</w:t>
            </w:r>
          </w:p>
          <w:p w14:paraId="6DFEA08C" w14:textId="0445CC6B"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15BE000B" w:rsidR="00A26FDF" w:rsidRPr="00E27862" w:rsidRDefault="00674B8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bullying</w:t>
            </w:r>
            <w:r w:rsidR="004B0492">
              <w:rPr>
                <w:rFonts w:cs="Arial"/>
                <w:color w:val="auto"/>
              </w:rPr>
              <w:t xml:space="preserve"> incidents</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726067FC"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sidR="0019782E" w:rsidRPr="00E27862">
              <w:rPr>
                <w:rFonts w:cs="Arial"/>
                <w:color w:val="auto"/>
              </w:rPr>
              <w:t xml:space="preserve">from 2024/25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5571B343" w14:textId="38122B21" w:rsidR="00175C89" w:rsidRPr="00E27862" w:rsidRDefault="001C1224" w:rsidP="00CC3491">
            <w:pPr>
              <w:pStyle w:val="ListParagraph"/>
              <w:numPr>
                <w:ilvl w:val="0"/>
                <w:numId w:val="22"/>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D13A8D">
              <w:rPr>
                <w:rFonts w:cs="Arial"/>
                <w:color w:val="auto"/>
              </w:rPr>
              <w:t>13</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F52735" w:rsidRPr="00E27862">
              <w:rPr>
                <w:rFonts w:cs="Arial"/>
                <w:color w:val="auto"/>
              </w:rPr>
              <w:t xml:space="preserve">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7C4301" w:rsidRPr="00E27862">
              <w:rPr>
                <w:rFonts w:cs="Arial"/>
                <w:color w:val="auto"/>
              </w:rPr>
              <w:t>being</w:t>
            </w:r>
            <w:r w:rsidR="00D82037" w:rsidRPr="00E27862">
              <w:rPr>
                <w:rFonts w:cs="Arial"/>
                <w:color w:val="auto"/>
              </w:rPr>
              <w:t xml:space="preserve"> </w:t>
            </w:r>
            <w:r w:rsidR="00D13A8D">
              <w:rPr>
                <w:rFonts w:cs="Arial"/>
                <w:color w:val="auto"/>
              </w:rPr>
              <w:t>reduced by 2</w:t>
            </w:r>
            <w:r w:rsidR="00052377" w:rsidRPr="00E27862">
              <w:rPr>
                <w:rFonts w:cs="Arial"/>
                <w:color w:val="auto"/>
              </w:rPr>
              <w:t>%</w:t>
            </w:r>
            <w:r w:rsidR="00F52735" w:rsidRPr="00E27862">
              <w:rPr>
                <w:rFonts w:cs="Arial"/>
                <w:color w:val="auto"/>
              </w:rPr>
              <w:t>.</w:t>
            </w:r>
          </w:p>
          <w:p w14:paraId="7182EE59" w14:textId="301026DA" w:rsidR="002C53A2" w:rsidRPr="00E27862" w:rsidRDefault="00CF52EA" w:rsidP="00CA28DC">
            <w:pPr>
              <w:pStyle w:val="ListParagraph"/>
              <w:numPr>
                <w:ilvl w:val="0"/>
                <w:numId w:val="22"/>
              </w:numPr>
              <w:suppressAutoHyphens w:val="0"/>
              <w:autoSpaceDN/>
              <w:spacing w:before="60" w:after="120" w:line="240" w:lineRule="auto"/>
              <w:ind w:left="414" w:right="57" w:hanging="357"/>
              <w:contextualSpacing w:val="0"/>
              <w:rPr>
                <w:rFonts w:cs="Arial"/>
                <w:color w:val="auto"/>
              </w:rPr>
            </w:pPr>
            <w:proofErr w:type="gramStart"/>
            <w:r w:rsidRPr="00E27862">
              <w:rPr>
                <w:rFonts w:cs="Arial"/>
                <w:color w:val="auto"/>
              </w:rPr>
              <w:t>the</w:t>
            </w:r>
            <w:proofErr w:type="gramEnd"/>
            <w:r w:rsidRPr="00E27862">
              <w:rPr>
                <w:rFonts w:cs="Arial"/>
                <w:color w:val="auto"/>
              </w:rPr>
              <w:t xml:space="preserve"> percentage of all pupils who are p</w:t>
            </w:r>
            <w:r w:rsidR="00501FA7">
              <w:rPr>
                <w:rFonts w:cs="Arial"/>
                <w:color w:val="auto"/>
              </w:rPr>
              <w:t>ersistently absent being below 8</w:t>
            </w:r>
            <w:r w:rsidRPr="00E27862">
              <w:rPr>
                <w:rFonts w:cs="Arial"/>
                <w:color w:val="auto"/>
              </w:rPr>
              <w:t>% and the figure among disadvant</w:t>
            </w:r>
            <w:r w:rsidR="00501FA7">
              <w:rPr>
                <w:rFonts w:cs="Arial"/>
                <w:color w:val="auto"/>
              </w:rPr>
              <w:t>aged pupils being no more than 4</w:t>
            </w:r>
            <w:r w:rsidRPr="00E27862">
              <w:rPr>
                <w:rFonts w:cs="Arial"/>
                <w:color w:val="auto"/>
              </w:rPr>
              <w:t>% lower than their peers.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23A2A8DB" w:rsidR="00E66558" w:rsidRDefault="009D71E8">
      <w:pPr>
        <w:pStyle w:val="Heading2"/>
      </w:pPr>
      <w:r>
        <w:lastRenderedPageBreak/>
        <w:t>Activity in this academic year</w:t>
      </w:r>
      <w:r w:rsidR="009167F6">
        <w:t xml:space="preserve"> 2021-22</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A280C5C" w:rsidR="00E66558" w:rsidRPr="00750C33" w:rsidRDefault="009D71E8" w:rsidP="00877501">
      <w:pPr>
        <w:rPr>
          <w:color w:val="0070C0"/>
        </w:rPr>
      </w:pPr>
      <w:r>
        <w:t xml:space="preserve">Budgeted cost: </w:t>
      </w:r>
      <w:r w:rsidRPr="00E27862">
        <w:rPr>
          <w:b/>
          <w:bCs/>
          <w:color w:val="auto"/>
        </w:rPr>
        <w:t>£</w:t>
      </w:r>
      <w:r w:rsidR="0052279E">
        <w:rPr>
          <w:b/>
          <w:bCs/>
          <w:color w:val="auto"/>
        </w:rPr>
        <w:t>51,500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w:t>
            </w:r>
            <w:r w:rsidR="000F4EB1" w:rsidRPr="00E27862">
              <w:rPr>
                <w:iCs/>
                <w:color w:val="auto"/>
                <w:lang w:val="en-US"/>
              </w:rPr>
              <w:t>tandardised</w:t>
            </w:r>
            <w:proofErr w:type="spellEnd"/>
            <w:r w:rsidR="000F4EB1" w:rsidRPr="00E27862">
              <w:rPr>
                <w:iCs/>
                <w:color w:val="auto"/>
                <w:lang w:val="en-US"/>
              </w:rPr>
              <w:t xml:space="preserve">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49EB6CD4" w:rsidR="00E66558" w:rsidRPr="00E27862" w:rsidRDefault="00800582" w:rsidP="00E5016D">
            <w:pPr>
              <w:pStyle w:val="TableRowCentered"/>
              <w:spacing w:after="120"/>
              <w:jc w:val="left"/>
              <w:rPr>
                <w:color w:val="auto"/>
                <w:szCs w:val="24"/>
              </w:rPr>
            </w:pPr>
            <w:hyperlink r:id="rId11" w:history="1">
              <w:r w:rsidR="007B3CB0"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E66558"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p>
          <w:p w14:paraId="2A7D551E" w14:textId="7E170F88"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32D5A55D" w:rsidR="00E66558" w:rsidRPr="00E27862" w:rsidRDefault="00800582" w:rsidP="001662B7">
            <w:pPr>
              <w:suppressAutoHyphens w:val="0"/>
              <w:autoSpaceDN/>
              <w:spacing w:before="60" w:after="60" w:line="240" w:lineRule="auto"/>
              <w:ind w:left="57" w:right="57"/>
              <w:rPr>
                <w:color w:val="auto"/>
              </w:rPr>
            </w:pPr>
            <w:hyperlink r:id="rId12" w:history="1">
              <w:r w:rsidR="0037532E" w:rsidRPr="00391C6D">
                <w:rPr>
                  <w:rFonts w:cs="Arial"/>
                  <w:color w:val="0070C0"/>
                  <w:u w:val="single"/>
                </w:rPr>
                <w:t>Oral language interventions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E27862" w:rsidRDefault="531411B3" w:rsidP="553D8BA6">
            <w:pPr>
              <w:pStyle w:val="TableRowCentered"/>
              <w:jc w:val="left"/>
              <w:rPr>
                <w:color w:val="auto"/>
                <w:sz w:val="22"/>
                <w:szCs w:val="22"/>
              </w:rPr>
            </w:pPr>
            <w:r w:rsidRPr="00E27862">
              <w:rPr>
                <w:color w:val="auto"/>
                <w:sz w:val="22"/>
                <w:szCs w:val="22"/>
              </w:rPr>
              <w:t>1</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E27862" w:rsidRDefault="009533EF" w:rsidP="00A6450E">
            <w:pPr>
              <w:suppressAutoHyphens w:val="0"/>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a </w:t>
            </w:r>
            <w:hyperlink r:id="rId13" w:history="1">
              <w:proofErr w:type="spellStart"/>
              <w:r w:rsidRPr="00D01A6D">
                <w:rPr>
                  <w:rStyle w:val="Hyperlink"/>
                  <w:rFonts w:cs="Arial"/>
                  <w:iCs/>
                  <w:color w:val="0070C0"/>
                </w:rPr>
                <w:t>D</w:t>
              </w:r>
              <w:r w:rsidRPr="00D01A6D">
                <w:rPr>
                  <w:rStyle w:val="Hyperlink"/>
                  <w:color w:val="0070C0"/>
                </w:rPr>
                <w:t>fE</w:t>
              </w:r>
              <w:proofErr w:type="spellEnd"/>
              <w:r w:rsidRPr="00D01A6D">
                <w:rPr>
                  <w:rStyle w:val="Hyperlink"/>
                  <w:color w:val="0070C0"/>
                </w:rPr>
                <w:t xml:space="preserv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E27862" w:rsidRDefault="001A25A3" w:rsidP="00011010">
            <w:pPr>
              <w:pStyle w:val="TableRowCentered"/>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60A39337" w:rsidR="001F198D" w:rsidRPr="00E27862" w:rsidRDefault="00800582" w:rsidP="003F1E06">
            <w:pPr>
              <w:pStyle w:val="TableRowCentered"/>
              <w:spacing w:after="120"/>
              <w:jc w:val="left"/>
              <w:rPr>
                <w:rFonts w:cs="Arial"/>
                <w:color w:val="auto"/>
                <w:szCs w:val="24"/>
              </w:rPr>
            </w:pPr>
            <w:hyperlink r:id="rId14" w:history="1">
              <w:r w:rsidR="006D12C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15621F" w:rsidRPr="00E27862" w:rsidRDefault="0015621F" w:rsidP="0015621F">
            <w:pPr>
              <w:pStyle w:val="TableRowCentered"/>
              <w:jc w:val="left"/>
              <w:rPr>
                <w:color w:val="auto"/>
                <w:szCs w:val="24"/>
              </w:rPr>
            </w:pPr>
            <w:r w:rsidRPr="00E27862">
              <w:rPr>
                <w:color w:val="auto"/>
                <w:szCs w:val="24"/>
              </w:rPr>
              <w:t>2</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B4A5A" w:rsidRPr="00E27862">
              <w:rPr>
                <w:color w:val="auto"/>
              </w:rPr>
              <w:t xml:space="preserve">of our maths teaching and curriculum planning in line with </w:t>
            </w:r>
            <w:proofErr w:type="spellStart"/>
            <w:r w:rsidR="005B4A5A" w:rsidRPr="00E27862">
              <w:rPr>
                <w:color w:val="auto"/>
              </w:rPr>
              <w:t>DfE</w:t>
            </w:r>
            <w:proofErr w:type="spellEnd"/>
            <w:r w:rsidR="005B4A5A" w:rsidRPr="00E27862">
              <w:rPr>
                <w:color w:val="auto"/>
              </w:rPr>
              <w:t xml:space="preserve"> and EEF guidance.</w:t>
            </w:r>
          </w:p>
          <w:p w14:paraId="6E8F3FDD" w14:textId="281A8040" w:rsidR="00777F13" w:rsidRPr="00E27862" w:rsidRDefault="009B4127" w:rsidP="005B4A5A">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w:t>
            </w:r>
            <w:r w:rsidR="005B4A5A" w:rsidRPr="00E27862">
              <w:rPr>
                <w:color w:val="auto"/>
              </w:rPr>
              <w:lastRenderedPageBreak/>
              <w:t>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w:t>
            </w:r>
            <w:proofErr w:type="spellStart"/>
            <w:r w:rsidR="004D025C" w:rsidRPr="00E27862">
              <w:rPr>
                <w:rFonts w:cs="Arial"/>
                <w:iCs/>
                <w:color w:val="auto"/>
              </w:rPr>
              <w:t>DfE</w:t>
            </w:r>
            <w:proofErr w:type="spellEnd"/>
            <w:r w:rsidR="004D025C" w:rsidRPr="00E27862">
              <w:rPr>
                <w:rFonts w:cs="Arial"/>
                <w:iCs/>
                <w:color w:val="auto"/>
              </w:rPr>
              <w:t xml:space="preserv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8F5887A" w14:textId="29E6A8D5" w:rsidR="00FC0184" w:rsidRPr="00D01A6D" w:rsidRDefault="00800582" w:rsidP="001662B7">
            <w:pPr>
              <w:suppressAutoHyphens w:val="0"/>
              <w:autoSpaceDN/>
              <w:spacing w:before="60" w:after="120" w:line="240" w:lineRule="auto"/>
              <w:ind w:left="57" w:right="57"/>
              <w:rPr>
                <w:rFonts w:cs="Arial"/>
                <w:iCs/>
                <w:color w:val="0070C0"/>
              </w:rPr>
            </w:pPr>
            <w:hyperlink r:id="rId15" w:history="1">
              <w:r w:rsidR="003E3A10" w:rsidRPr="00D01A6D">
                <w:rPr>
                  <w:color w:val="0070C0"/>
                  <w:u w:val="single"/>
                </w:rPr>
                <w:t>Maths_guidance_KS_1_and_2.pdf (publishing.service.gov.uk)</w:t>
              </w:r>
            </w:hyperlink>
          </w:p>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lastRenderedPageBreak/>
              <w:t xml:space="preserve">The EEF guidance is based on a range of the best available evidence: </w:t>
            </w:r>
          </w:p>
          <w:p w14:paraId="0892004B" w14:textId="3C345453" w:rsidR="006B5875" w:rsidRPr="00E27862" w:rsidRDefault="00800582" w:rsidP="00FB5EA9">
            <w:pPr>
              <w:suppressAutoHyphens w:val="0"/>
              <w:autoSpaceDN/>
              <w:spacing w:before="60" w:after="120" w:line="240" w:lineRule="auto"/>
              <w:ind w:left="57" w:right="57"/>
              <w:rPr>
                <w:rFonts w:cs="Arial"/>
                <w:color w:val="auto"/>
                <w:u w:val="single"/>
              </w:rPr>
            </w:pPr>
            <w:hyperlink r:id="rId16" w:history="1">
              <w:r w:rsidR="006B587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E27862" w:rsidRDefault="0077187E" w:rsidP="0015621F">
            <w:pPr>
              <w:pStyle w:val="TableRowCentered"/>
              <w:jc w:val="left"/>
              <w:rPr>
                <w:color w:val="auto"/>
                <w:szCs w:val="24"/>
              </w:rPr>
            </w:pPr>
            <w:r w:rsidRPr="00E27862">
              <w:rPr>
                <w:color w:val="auto"/>
                <w:szCs w:val="24"/>
              </w:rPr>
              <w:lastRenderedPageBreak/>
              <w:t>3</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4D7D3DC5"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800582" w:rsidP="0044560E">
            <w:pPr>
              <w:pStyle w:val="TableRowCentered"/>
              <w:spacing w:after="120"/>
              <w:jc w:val="left"/>
              <w:rPr>
                <w:color w:val="auto"/>
                <w:szCs w:val="24"/>
              </w:rPr>
            </w:pPr>
            <w:hyperlink r:id="rId17" w:history="1">
              <w:r w:rsidR="0016406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15621F" w:rsidRPr="00E27862" w:rsidRDefault="00D00AAB" w:rsidP="0015621F">
            <w:pPr>
              <w:pStyle w:val="TableRowCentered"/>
              <w:jc w:val="left"/>
              <w:rPr>
                <w:color w:val="auto"/>
                <w:szCs w:val="24"/>
                <w:highlight w:val="yellow"/>
              </w:rPr>
            </w:pPr>
            <w:r w:rsidRPr="00E27862">
              <w:rPr>
                <w:color w:val="auto"/>
                <w:szCs w:val="24"/>
              </w:rPr>
              <w:t>5</w:t>
            </w:r>
          </w:p>
        </w:tc>
      </w:tr>
      <w:tr w:rsidR="00A47A43" w14:paraId="6D04EE40"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C1CDC" w14:textId="6E0CACBF" w:rsidR="00A47A43" w:rsidRPr="00E27862" w:rsidRDefault="00B6684A" w:rsidP="00A6450E">
            <w:pPr>
              <w:suppressAutoHyphens w:val="0"/>
              <w:autoSpaceDN/>
              <w:spacing w:before="60" w:after="0" w:line="240" w:lineRule="auto"/>
              <w:ind w:left="29"/>
              <w:rPr>
                <w:rFonts w:cs="Arial"/>
                <w:iCs/>
                <w:color w:val="auto"/>
                <w:lang w:val="en-US" w:eastAsia="en-US"/>
              </w:rPr>
            </w:pPr>
            <w:r>
              <w:rPr>
                <w:rFonts w:cs="Arial"/>
                <w:iCs/>
                <w:color w:val="auto"/>
                <w:lang w:val="en-US" w:eastAsia="en-US"/>
              </w:rPr>
              <w:t>Maintain the current levels of extra support staff across the school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BED21" w14:textId="2C21C556" w:rsidR="00A47A43" w:rsidRPr="00E27862" w:rsidRDefault="00800582" w:rsidP="00704439">
            <w:pPr>
              <w:pStyle w:val="TableRowCentered"/>
              <w:jc w:val="left"/>
              <w:rPr>
                <w:rFonts w:cs="Arial"/>
                <w:color w:val="auto"/>
                <w:szCs w:val="24"/>
              </w:rPr>
            </w:pPr>
            <w:hyperlink r:id="rId18" w:history="1">
              <w:r w:rsidR="00B6684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4D039" w14:textId="37DD961C" w:rsidR="00A47A43" w:rsidRPr="00E27862" w:rsidRDefault="0052279E" w:rsidP="0015621F">
            <w:pPr>
              <w:pStyle w:val="TableRowCentered"/>
              <w:jc w:val="left"/>
              <w:rPr>
                <w:color w:val="auto"/>
                <w:szCs w:val="24"/>
              </w:rPr>
            </w:pPr>
            <w:r>
              <w:rPr>
                <w:color w:val="auto"/>
                <w:szCs w:val="24"/>
              </w:rPr>
              <w:t>1, 2, 3, 4</w:t>
            </w:r>
          </w:p>
        </w:tc>
      </w:tr>
      <w:tr w:rsidR="00B6684A" w14:paraId="03A01DD2"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B3297" w14:textId="3E2AA5D9" w:rsidR="00800582" w:rsidRDefault="00B6684A" w:rsidP="00800582">
            <w:pPr>
              <w:suppressAutoHyphens w:val="0"/>
              <w:autoSpaceDN/>
              <w:spacing w:before="60" w:after="0" w:line="240" w:lineRule="auto"/>
              <w:ind w:left="29"/>
              <w:rPr>
                <w:rFonts w:cs="Arial"/>
                <w:iCs/>
                <w:color w:val="auto"/>
                <w:lang w:val="en-US" w:eastAsia="en-US"/>
              </w:rPr>
            </w:pPr>
            <w:r>
              <w:rPr>
                <w:rFonts w:cs="Arial"/>
                <w:iCs/>
                <w:color w:val="auto"/>
                <w:lang w:val="en-US" w:eastAsia="en-US"/>
              </w:rPr>
              <w:t>0.6 teacher employed in EYFS for better provision</w:t>
            </w:r>
            <w:bookmarkStart w:id="17" w:name="_GoBack"/>
            <w:bookmarkEnd w:id="17"/>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0BF4C" w14:textId="269C361B" w:rsidR="00B6684A" w:rsidRPr="00E27862" w:rsidRDefault="00800582" w:rsidP="00704439">
            <w:pPr>
              <w:pStyle w:val="TableRowCentered"/>
              <w:jc w:val="left"/>
              <w:rPr>
                <w:rFonts w:cs="Arial"/>
                <w:color w:val="auto"/>
                <w:szCs w:val="24"/>
              </w:rPr>
            </w:pPr>
            <w:hyperlink r:id="rId19" w:history="1">
              <w:r w:rsidR="00B6684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7846E" w14:textId="1767B5A5" w:rsidR="00B6684A" w:rsidRPr="00E27862" w:rsidRDefault="00B6684A" w:rsidP="0015621F">
            <w:pPr>
              <w:pStyle w:val="TableRowCentered"/>
              <w:jc w:val="left"/>
              <w:rPr>
                <w:color w:val="auto"/>
                <w:szCs w:val="24"/>
              </w:rPr>
            </w:pPr>
            <w:r>
              <w:rPr>
                <w:color w:val="auto"/>
                <w:szCs w:val="24"/>
              </w:rPr>
              <w:t>1</w:t>
            </w:r>
            <w:r w:rsidR="0052279E">
              <w:rPr>
                <w:color w:val="auto"/>
                <w:szCs w:val="24"/>
              </w:rPr>
              <w:t>, 2, 3, 4</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FFA4246" w:rsidR="00E66558" w:rsidRDefault="009D71E8" w:rsidP="00877501">
      <w:r>
        <w:t xml:space="preserve">Budgeted cost: </w:t>
      </w:r>
      <w:r w:rsidRPr="00E27862">
        <w:rPr>
          <w:b/>
          <w:bCs/>
          <w:color w:val="auto"/>
        </w:rPr>
        <w:t>£</w:t>
      </w:r>
      <w:r w:rsidR="00B6684A">
        <w:rPr>
          <w:b/>
          <w:bCs/>
          <w:color w:val="auto"/>
        </w:rPr>
        <w:t>6,899 (</w:t>
      </w:r>
      <w:proofErr w:type="spellStart"/>
      <w:r w:rsidR="00B6684A">
        <w:rPr>
          <w:b/>
          <w:bCs/>
          <w:color w:val="auto"/>
        </w:rPr>
        <w:t>Covid</w:t>
      </w:r>
      <w:proofErr w:type="spellEnd"/>
      <w:r w:rsidR="00B6684A">
        <w:rPr>
          <w:b/>
          <w:bCs/>
          <w:color w:val="auto"/>
        </w:rPr>
        <w:t xml:space="preserve"> Catch-up Premium) + TA support pm £11,000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1EAD5" w14:textId="77777777" w:rsidR="004A44D9" w:rsidRPr="005F5251" w:rsidRDefault="001E58D7" w:rsidP="00D06CF0">
            <w:pPr>
              <w:pStyle w:val="TableRow"/>
              <w:spacing w:after="120"/>
              <w:rPr>
                <w:rFonts w:cs="Arial"/>
                <w:iCs/>
                <w:color w:val="auto"/>
                <w:lang w:val="en-US"/>
              </w:rPr>
            </w:pPr>
            <w:r w:rsidRPr="005F5251">
              <w:rPr>
                <w:rFonts w:cs="Arial"/>
                <w:iCs/>
                <w:color w:val="auto"/>
                <w:lang w:val="en-US"/>
              </w:rPr>
              <w:t>Purc</w:t>
            </w:r>
            <w:r w:rsidR="001854B9" w:rsidRPr="005F5251">
              <w:rPr>
                <w:rFonts w:cs="Arial"/>
                <w:iCs/>
                <w:color w:val="auto"/>
                <w:lang w:val="en-US"/>
              </w:rPr>
              <w:t xml:space="preserve">hase of a </w:t>
            </w:r>
            <w:proofErr w:type="spellStart"/>
            <w:r w:rsidR="003E1815" w:rsidRPr="005F5251">
              <w:rPr>
                <w:rFonts w:cs="Arial"/>
                <w:iCs/>
                <w:color w:val="auto"/>
                <w:lang w:val="en-US"/>
              </w:rPr>
              <w:t>programme</w:t>
            </w:r>
            <w:proofErr w:type="spellEnd"/>
            <w:r w:rsidR="001854B9" w:rsidRPr="005F5251">
              <w:rPr>
                <w:rFonts w:cs="Arial"/>
                <w:iCs/>
                <w:color w:val="auto"/>
                <w:lang w:val="en-US"/>
              </w:rPr>
              <w:t xml:space="preserve"> </w:t>
            </w:r>
            <w:r w:rsidRPr="005F5251">
              <w:rPr>
                <w:rFonts w:cs="Arial"/>
                <w:iCs/>
                <w:color w:val="auto"/>
                <w:lang w:val="en-US"/>
              </w:rPr>
              <w:t>to</w:t>
            </w:r>
            <w:r w:rsidR="00D7638B" w:rsidRPr="005F5251">
              <w:rPr>
                <w:rFonts w:cs="Arial"/>
                <w:iCs/>
                <w:color w:val="auto"/>
                <w:lang w:val="en-US"/>
              </w:rPr>
              <w:t xml:space="preserve"> </w:t>
            </w:r>
            <w:r w:rsidR="009B7A21" w:rsidRPr="005F5251">
              <w:rPr>
                <w:rFonts w:cs="Arial"/>
                <w:iCs/>
                <w:color w:val="auto"/>
                <w:lang w:val="en-US"/>
              </w:rPr>
              <w:t>improve listening</w:t>
            </w:r>
            <w:r w:rsidR="00F22D86" w:rsidRPr="005F5251">
              <w:rPr>
                <w:rFonts w:cs="Arial"/>
                <w:iCs/>
                <w:color w:val="auto"/>
                <w:lang w:val="en-US"/>
              </w:rPr>
              <w:t>, narrative and vocabulary</w:t>
            </w:r>
            <w:r w:rsidR="001F5269" w:rsidRPr="005F5251">
              <w:rPr>
                <w:rFonts w:cs="Arial"/>
                <w:iCs/>
                <w:color w:val="auto"/>
                <w:lang w:val="en-US"/>
              </w:rPr>
              <w:t xml:space="preserve"> skills</w:t>
            </w:r>
            <w:r w:rsidR="00F22D86" w:rsidRPr="005F5251">
              <w:rPr>
                <w:rFonts w:cs="Arial"/>
                <w:iCs/>
                <w:color w:val="auto"/>
                <w:lang w:val="en-US"/>
              </w:rPr>
              <w:t xml:space="preserve"> for </w:t>
            </w:r>
            <w:r w:rsidR="00C93FAB" w:rsidRPr="005F5251">
              <w:rPr>
                <w:rFonts w:cs="Arial"/>
                <w:iCs/>
                <w:color w:val="auto"/>
                <w:lang w:val="en-US"/>
              </w:rPr>
              <w:t xml:space="preserve">disadvantaged </w:t>
            </w:r>
            <w:r w:rsidR="00F22D86" w:rsidRPr="005F5251">
              <w:rPr>
                <w:rFonts w:cs="Arial"/>
                <w:iCs/>
                <w:color w:val="auto"/>
                <w:lang w:val="en-US"/>
              </w:rPr>
              <w:t>pupils who have relatively low spoken language skills.</w:t>
            </w:r>
          </w:p>
          <w:p w14:paraId="2A7D5529" w14:textId="214AA5DB" w:rsidR="005F5251" w:rsidRPr="005F5251" w:rsidRDefault="005F5251" w:rsidP="00D06CF0">
            <w:pPr>
              <w:pStyle w:val="TableRow"/>
              <w:spacing w:after="120"/>
              <w:rPr>
                <w:rFonts w:cs="Arial"/>
                <w:iCs/>
                <w:color w:val="auto"/>
                <w:lang w:val="en-US"/>
              </w:rPr>
            </w:pPr>
            <w:r w:rsidRPr="005F5251">
              <w:rPr>
                <w:rFonts w:cs="Arial"/>
                <w:b/>
                <w:iCs/>
                <w:color w:val="auto"/>
                <w:lang w:val="en-US"/>
              </w:rPr>
              <w:t>NELI (Nuffield Early Language Intervention</w:t>
            </w:r>
            <w:r w:rsidRPr="005F5251">
              <w:rPr>
                <w:rFonts w:cs="Arial"/>
                <w:iCs/>
                <w:color w:val="auto"/>
                <w:lang w:val="en-US"/>
              </w:rPr>
              <w: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036D3430" w:rsidR="008D0239" w:rsidRPr="005F5251" w:rsidRDefault="00D648CD" w:rsidP="00AC2D60">
            <w:pPr>
              <w:pStyle w:val="TableRowCentered"/>
              <w:jc w:val="left"/>
              <w:rPr>
                <w:rFonts w:cs="Arial"/>
                <w:color w:val="auto"/>
                <w:szCs w:val="24"/>
              </w:rPr>
            </w:pPr>
            <w:r w:rsidRPr="005F5251">
              <w:rPr>
                <w:rFonts w:cs="Arial"/>
                <w:color w:val="auto"/>
                <w:szCs w:val="24"/>
              </w:rPr>
              <w:t>Oral l</w:t>
            </w:r>
            <w:r w:rsidR="00F22D86" w:rsidRPr="005F5251">
              <w:rPr>
                <w:rFonts w:cs="Arial"/>
                <w:color w:val="auto"/>
                <w:szCs w:val="24"/>
              </w:rPr>
              <w:t>a</w:t>
            </w:r>
            <w:r w:rsidR="00E3028B" w:rsidRPr="005F5251">
              <w:rPr>
                <w:rFonts w:cs="Arial"/>
                <w:color w:val="auto"/>
                <w:szCs w:val="24"/>
              </w:rPr>
              <w:t xml:space="preserve">nguage </w:t>
            </w:r>
            <w:r w:rsidR="00AD5040" w:rsidRPr="005F5251">
              <w:rPr>
                <w:rFonts w:cs="Arial"/>
                <w:color w:val="auto"/>
                <w:szCs w:val="24"/>
              </w:rPr>
              <w:t>i</w:t>
            </w:r>
            <w:r w:rsidR="00E3028B" w:rsidRPr="005F5251">
              <w:rPr>
                <w:rFonts w:cs="Arial"/>
                <w:color w:val="auto"/>
                <w:szCs w:val="24"/>
              </w:rPr>
              <w:t>ntervention</w:t>
            </w:r>
            <w:r w:rsidR="000C238F" w:rsidRPr="005F5251">
              <w:rPr>
                <w:rFonts w:cs="Arial"/>
                <w:color w:val="auto"/>
                <w:szCs w:val="24"/>
              </w:rPr>
              <w:t>s</w:t>
            </w:r>
            <w:r w:rsidR="00E3028B" w:rsidRPr="005F5251">
              <w:rPr>
                <w:rFonts w:cs="Arial"/>
                <w:color w:val="auto"/>
                <w:szCs w:val="24"/>
              </w:rPr>
              <w:t xml:space="preserve"> </w:t>
            </w:r>
            <w:r w:rsidR="00AD5040" w:rsidRPr="005F5251">
              <w:rPr>
                <w:rFonts w:cs="Arial"/>
                <w:color w:val="auto"/>
                <w:szCs w:val="24"/>
              </w:rPr>
              <w:t xml:space="preserve">can </w:t>
            </w:r>
            <w:r w:rsidR="00E3028B" w:rsidRPr="005F5251">
              <w:rPr>
                <w:rFonts w:cs="Arial"/>
                <w:color w:val="auto"/>
                <w:szCs w:val="24"/>
              </w:rPr>
              <w:t xml:space="preserve">have a positive impact on </w:t>
            </w:r>
            <w:r w:rsidR="00AD5040" w:rsidRPr="005F5251">
              <w:rPr>
                <w:rFonts w:cs="Arial"/>
                <w:color w:val="auto"/>
                <w:szCs w:val="24"/>
              </w:rPr>
              <w:t xml:space="preserve">pupils’ </w:t>
            </w:r>
            <w:r w:rsidR="00E3028B" w:rsidRPr="005F5251">
              <w:rPr>
                <w:rFonts w:cs="Arial"/>
                <w:color w:val="auto"/>
                <w:szCs w:val="24"/>
              </w:rPr>
              <w:t>language skills</w:t>
            </w:r>
            <w:r w:rsidR="00A35376" w:rsidRPr="005F5251">
              <w:rPr>
                <w:rFonts w:cs="Arial"/>
                <w:color w:val="auto"/>
                <w:szCs w:val="24"/>
              </w:rPr>
              <w:t>. Appro</w:t>
            </w:r>
            <w:r w:rsidR="00EC01D3" w:rsidRPr="005F5251">
              <w:rPr>
                <w:rFonts w:cs="Arial"/>
                <w:color w:val="auto"/>
                <w:szCs w:val="24"/>
              </w:rPr>
              <w:t>aches that focus on speaking, listening and a combination of the two</w:t>
            </w:r>
            <w:r w:rsidR="00B745BD" w:rsidRPr="005F5251">
              <w:rPr>
                <w:rFonts w:cs="Arial"/>
                <w:color w:val="auto"/>
                <w:szCs w:val="24"/>
              </w:rPr>
              <w:t xml:space="preserve"> show positive impacts on attainment</w:t>
            </w:r>
            <w:r w:rsidR="00487C69" w:rsidRPr="005F5251">
              <w:rPr>
                <w:rFonts w:cs="Arial"/>
                <w:color w:val="auto"/>
                <w:szCs w:val="24"/>
              </w:rPr>
              <w:t>:</w:t>
            </w:r>
          </w:p>
          <w:p w14:paraId="6B294335" w14:textId="419E22C2" w:rsidR="00C62EDD" w:rsidRPr="005F5251" w:rsidRDefault="00800582" w:rsidP="00AC2D60">
            <w:pPr>
              <w:pStyle w:val="TableRowCentered"/>
              <w:spacing w:after="120"/>
              <w:jc w:val="left"/>
              <w:rPr>
                <w:color w:val="0070C0"/>
                <w:szCs w:val="24"/>
              </w:rPr>
            </w:pPr>
            <w:hyperlink r:id="rId20" w:history="1">
              <w:r w:rsidR="009B3D71" w:rsidRPr="005F5251">
                <w:rPr>
                  <w:color w:val="0070C0"/>
                  <w:szCs w:val="24"/>
                  <w:u w:val="single"/>
                </w:rPr>
                <w:t>Oral language interventions | EEF (educationendowmentfoundation.org.uk)</w:t>
              </w:r>
            </w:hyperlink>
          </w:p>
          <w:p w14:paraId="2A7D552A" w14:textId="65C935C9" w:rsidR="009D2E96" w:rsidRPr="005F5251" w:rsidRDefault="009D2E96" w:rsidP="00A719E8">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CC3D33" w:rsidR="001E76B0" w:rsidRPr="00295351" w:rsidRDefault="001E76B0" w:rsidP="001E76B0">
            <w:pPr>
              <w:pStyle w:val="TableRowCentered"/>
              <w:jc w:val="left"/>
              <w:rPr>
                <w:color w:val="auto"/>
                <w:szCs w:val="22"/>
              </w:rPr>
            </w:pPr>
            <w:r w:rsidRPr="00295351">
              <w:rPr>
                <w:color w:val="auto"/>
                <w:szCs w:val="22"/>
              </w:rPr>
              <w:t>1</w:t>
            </w:r>
            <w:r w:rsidR="000A5F32" w:rsidRPr="00295351">
              <w:rPr>
                <w:color w:val="auto"/>
                <w:szCs w:val="22"/>
              </w:rPr>
              <w:t>, 4</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052802D3"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lastRenderedPageBreak/>
              <w:t>collaboration</w:t>
            </w:r>
            <w:r w:rsidR="000100E0" w:rsidRPr="00E27862">
              <w:rPr>
                <w:rFonts w:cs="Arial"/>
                <w:iCs/>
                <w:color w:val="auto"/>
                <w:lang w:val="en-US"/>
              </w:rPr>
              <w:t xml:space="preserve"> with our </w:t>
            </w:r>
            <w:r w:rsidRPr="00E27862">
              <w:rPr>
                <w:rFonts w:cs="Arial"/>
                <w:iCs/>
                <w:color w:val="auto"/>
                <w:lang w:val="en-US"/>
              </w:rPr>
              <w:t>local English hub</w:t>
            </w:r>
            <w:r w:rsidR="00327E78" w:rsidRPr="00E27862">
              <w:rPr>
                <w:rFonts w:cs="Arial"/>
                <w:iCs/>
                <w:color w:val="auto"/>
                <w:lang w:val="en-US"/>
              </w:rPr>
              <w:t>.</w:t>
            </w:r>
            <w:r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lastRenderedPageBreak/>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 xml:space="preserve">shown to be more </w:t>
            </w:r>
            <w:r w:rsidR="007839E5" w:rsidRPr="00E27862">
              <w:rPr>
                <w:rFonts w:cs="Arial"/>
                <w:color w:val="auto"/>
                <w:szCs w:val="24"/>
              </w:rPr>
              <w:lastRenderedPageBreak/>
              <w:t>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800582" w:rsidP="00AE721B">
            <w:pPr>
              <w:pStyle w:val="TableRowCentered"/>
              <w:spacing w:after="120"/>
              <w:jc w:val="left"/>
              <w:rPr>
                <w:color w:val="auto"/>
              </w:rPr>
            </w:pPr>
            <w:hyperlink r:id="rId21"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295351" w:rsidRDefault="005153E1" w:rsidP="00B8060C">
            <w:pPr>
              <w:pStyle w:val="TableRowCentered"/>
              <w:jc w:val="left"/>
              <w:rPr>
                <w:color w:val="auto"/>
                <w:szCs w:val="22"/>
              </w:rPr>
            </w:pPr>
            <w:r w:rsidRPr="00295351">
              <w:rPr>
                <w:color w:val="auto"/>
                <w:szCs w:val="22"/>
              </w:rPr>
              <w:lastRenderedPageBreak/>
              <w:t>2</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3074BBB9" w:rsidR="005153E1" w:rsidRPr="00E27862" w:rsidRDefault="00CB012A" w:rsidP="001C4335">
            <w:pPr>
              <w:pStyle w:val="TableRow"/>
              <w:spacing w:after="120"/>
              <w:rPr>
                <w:rFonts w:cs="Arial"/>
                <w:iCs/>
                <w:color w:val="auto"/>
                <w:lang w:val="en-US"/>
              </w:rPr>
            </w:pPr>
            <w:r w:rsidRPr="00E27862">
              <w:rPr>
                <w:rFonts w:cs="Arial"/>
                <w:iCs/>
                <w:color w:val="auto"/>
                <w:lang w:val="en-US"/>
              </w:rPr>
              <w:t>Engaging with the National Tutoring Pro-</w:t>
            </w:r>
            <w:proofErr w:type="spellStart"/>
            <w:r w:rsidRPr="00E27862">
              <w:rPr>
                <w:rFonts w:cs="Arial"/>
                <w:iCs/>
                <w:color w:val="auto"/>
                <w:lang w:val="en-US"/>
              </w:rPr>
              <w:t>gramme</w:t>
            </w:r>
            <w:proofErr w:type="spellEnd"/>
            <w:r w:rsidRPr="00E27862">
              <w:rPr>
                <w:rFonts w:cs="Arial"/>
                <w:iCs/>
                <w:color w:val="auto"/>
                <w:lang w:val="en-US"/>
              </w:rPr>
              <w:t xml:space="preserve"> to provide school-led tutoring for pupils whose education has been most impacted by the pandemic. A significant proportion of the pupils who receive tutoring will be disadvantag</w:t>
            </w:r>
            <w:r w:rsidR="009A365F" w:rsidRPr="00E27862">
              <w:rPr>
                <w:rFonts w:cs="Arial"/>
                <w:iCs/>
                <w:color w:val="auto"/>
                <w:lang w:val="en-US"/>
              </w:rPr>
              <w:t>ed</w:t>
            </w:r>
            <w:r w:rsidRPr="00E27862">
              <w:rPr>
                <w:rFonts w:cs="Arial"/>
                <w:iCs/>
                <w:color w:val="auto"/>
                <w:lang w:val="en-US"/>
              </w:rPr>
              <w:t xml:space="preserve">, including those who are high </w:t>
            </w:r>
            <w:proofErr w:type="spellStart"/>
            <w:r w:rsidRPr="00E27862">
              <w:rPr>
                <w:rFonts w:cs="Arial"/>
                <w:iCs/>
                <w:color w:val="auto"/>
                <w:lang w:val="en-US"/>
              </w:rPr>
              <w:t>attainers</w:t>
            </w:r>
            <w:proofErr w:type="spellEnd"/>
            <w:r w:rsidRPr="00E27862">
              <w:rPr>
                <w:rFonts w:cs="Arial"/>
                <w:iCs/>
                <w:color w:val="auto"/>
                <w:lang w:val="en-US"/>
              </w:rPr>
              <w: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E27862" w:rsidRDefault="007060ED" w:rsidP="007B323B">
            <w:pPr>
              <w:suppressAutoHyphens w:val="0"/>
              <w:autoSpaceDN/>
              <w:spacing w:before="60" w:after="60" w:line="240" w:lineRule="auto"/>
              <w:ind w:left="57" w:right="57"/>
              <w:rPr>
                <w:color w:val="auto"/>
              </w:rPr>
            </w:pPr>
            <w:r w:rsidRPr="00E27862">
              <w:rPr>
                <w:color w:val="auto"/>
              </w:rPr>
              <w:t>T</w:t>
            </w:r>
            <w:r w:rsidR="00904E68" w:rsidRPr="00E27862">
              <w:rPr>
                <w:color w:val="auto"/>
              </w:rPr>
              <w:t xml:space="preserve">uition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Pr="00E27862">
              <w:rPr>
                <w:color w:val="auto"/>
              </w:rPr>
              <w:t>, both one-to-one</w:t>
            </w:r>
            <w:r w:rsidR="00496236" w:rsidRPr="00E27862">
              <w:rPr>
                <w:color w:val="auto"/>
              </w:rPr>
              <w:t>:</w:t>
            </w:r>
          </w:p>
          <w:p w14:paraId="47B330BD" w14:textId="79E9950C" w:rsidR="00421546" w:rsidRPr="00094874" w:rsidRDefault="00800582" w:rsidP="007B323B">
            <w:pPr>
              <w:suppressAutoHyphens w:val="0"/>
              <w:autoSpaceDN/>
              <w:spacing w:before="60" w:after="60" w:line="240" w:lineRule="auto"/>
              <w:ind w:left="57" w:right="57"/>
              <w:rPr>
                <w:color w:val="0070C0"/>
              </w:rPr>
            </w:pPr>
            <w:hyperlink r:id="rId22" w:history="1">
              <w:r w:rsidR="00EF248F" w:rsidRPr="00094874">
                <w:rPr>
                  <w:color w:val="0070C0"/>
                  <w:u w:val="single"/>
                </w:rPr>
                <w:t>One to one tuition | EEF (educationendowmentfoundation.org.uk)</w:t>
              </w:r>
            </w:hyperlink>
          </w:p>
          <w:p w14:paraId="1107DD3B" w14:textId="4FAED350" w:rsidR="00EF248F" w:rsidRPr="00E27862" w:rsidRDefault="00EF248F" w:rsidP="007B323B">
            <w:pPr>
              <w:suppressAutoHyphens w:val="0"/>
              <w:autoSpaceDN/>
              <w:spacing w:before="60" w:after="60" w:line="240" w:lineRule="auto"/>
              <w:ind w:left="57" w:right="57"/>
              <w:rPr>
                <w:color w:val="auto"/>
              </w:rPr>
            </w:pPr>
            <w:r w:rsidRPr="00E27862">
              <w:rPr>
                <w:color w:val="auto"/>
              </w:rPr>
              <w:t>And in small groups:</w:t>
            </w:r>
          </w:p>
          <w:p w14:paraId="7E164B51" w14:textId="66084BCC" w:rsidR="00A45684" w:rsidRPr="00E27862" w:rsidRDefault="00800582" w:rsidP="00EF248F">
            <w:pPr>
              <w:suppressAutoHyphens w:val="0"/>
              <w:autoSpaceDN/>
              <w:spacing w:before="60" w:after="120" w:line="240" w:lineRule="auto"/>
              <w:ind w:left="57" w:right="57"/>
              <w:rPr>
                <w:color w:val="auto"/>
                <w:u w:val="single"/>
              </w:rPr>
            </w:pPr>
            <w:hyperlink r:id="rId23" w:history="1">
              <w:r w:rsidR="007B323B" w:rsidRPr="009A7AA4">
                <w:rPr>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295351" w:rsidRDefault="00F423B1" w:rsidP="00B8060C">
            <w:pPr>
              <w:pStyle w:val="TableRowCentered"/>
              <w:jc w:val="left"/>
              <w:rPr>
                <w:color w:val="auto"/>
                <w:szCs w:val="22"/>
              </w:rPr>
            </w:pPr>
            <w:r w:rsidRPr="00295351">
              <w:rPr>
                <w:color w:val="auto"/>
                <w:szCs w:val="22"/>
              </w:rPr>
              <w:t>4</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6E880D4E" w:rsidR="00E66558" w:rsidRDefault="009D71E8" w:rsidP="00877501">
      <w:pPr>
        <w:spacing w:before="240"/>
      </w:pPr>
      <w:r>
        <w:t xml:space="preserve">Budgeted cost: </w:t>
      </w:r>
      <w:r w:rsidRPr="00E27862">
        <w:rPr>
          <w:b/>
          <w:bCs/>
          <w:color w:val="auto"/>
        </w:rPr>
        <w:t>£</w:t>
      </w:r>
      <w:r w:rsidR="0052279E">
        <w:rPr>
          <w:b/>
          <w:bCs/>
          <w:color w:val="auto"/>
        </w:rPr>
        <w:t>24,900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w:t>
            </w:r>
            <w:proofErr w:type="spellStart"/>
            <w:r w:rsidR="00F5076A" w:rsidRPr="00E27862">
              <w:rPr>
                <w:iCs/>
                <w:color w:val="auto"/>
                <w:szCs w:val="28"/>
                <w:lang w:val="en-US"/>
              </w:rPr>
              <w:t>behaviour</w:t>
            </w:r>
            <w:proofErr w:type="spellEnd"/>
            <w:r w:rsidR="00F5076A" w:rsidRPr="00E27862">
              <w:rPr>
                <w:iCs/>
                <w:color w:val="auto"/>
                <w:szCs w:val="28"/>
                <w:lang w:val="en-US"/>
              </w:rPr>
              <w:t xml:space="preserve"> management and anti-bullying approaches</w:t>
            </w:r>
            <w:r w:rsidR="00924A38" w:rsidRPr="00E27862">
              <w:rPr>
                <w:iCs/>
                <w:color w:val="auto"/>
                <w:szCs w:val="28"/>
                <w:lang w:val="en-US"/>
              </w:rPr>
              <w:t xml:space="preserve"> </w:t>
            </w:r>
            <w:r w:rsidR="00895E40" w:rsidRPr="00E27862">
              <w:rPr>
                <w:iCs/>
                <w:color w:val="auto"/>
                <w:szCs w:val="28"/>
                <w:lang w:val="en-US"/>
              </w:rPr>
              <w:t xml:space="preserve">with the aim of developing our school ethos and improving </w:t>
            </w:r>
            <w:proofErr w:type="spellStart"/>
            <w:r w:rsidR="00895E40" w:rsidRPr="00E27862">
              <w:rPr>
                <w:iCs/>
                <w:color w:val="auto"/>
                <w:szCs w:val="28"/>
                <w:lang w:val="en-US"/>
              </w:rPr>
              <w:t>behaviour</w:t>
            </w:r>
            <w:proofErr w:type="spellEnd"/>
            <w:r w:rsidR="00895E40" w:rsidRPr="00E27862">
              <w:rPr>
                <w:iCs/>
                <w:color w:val="auto"/>
                <w:szCs w:val="28"/>
                <w:lang w:val="en-US"/>
              </w:rPr>
              <w:t xml:space="preserve"> 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0DAC6ABE" w:rsidR="009B020C" w:rsidRPr="00E27862" w:rsidRDefault="00800582" w:rsidP="00F87B43">
            <w:pPr>
              <w:pStyle w:val="TableRowCentered"/>
              <w:spacing w:after="120"/>
              <w:jc w:val="left"/>
              <w:rPr>
                <w:color w:val="auto"/>
              </w:rPr>
            </w:pPr>
            <w:hyperlink r:id="rId24" w:history="1">
              <w:r w:rsidR="009B020C" w:rsidRPr="009A7AA4">
                <w:rPr>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E27862" w:rsidRDefault="002827F4">
            <w:pPr>
              <w:pStyle w:val="TableRowCentered"/>
              <w:jc w:val="left"/>
              <w:rPr>
                <w:color w:val="auto"/>
                <w:sz w:val="22"/>
              </w:rPr>
            </w:pPr>
            <w:r w:rsidRPr="00E27862">
              <w:rPr>
                <w:color w:val="auto"/>
                <w:sz w:val="22"/>
              </w:rPr>
              <w:t>5</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w:t>
            </w:r>
            <w:proofErr w:type="spellStart"/>
            <w:r w:rsidRPr="00E27862">
              <w:rPr>
                <w:iCs/>
                <w:color w:val="auto"/>
                <w:szCs w:val="28"/>
                <w:lang w:val="en-US"/>
              </w:rPr>
              <w:t>DfE</w:t>
            </w:r>
            <w:r w:rsidR="006C46F8" w:rsidRPr="00E27862">
              <w:rPr>
                <w:iCs/>
                <w:color w:val="auto"/>
                <w:szCs w:val="28"/>
                <w:lang w:val="en-US"/>
              </w:rPr>
              <w:t>’s</w:t>
            </w:r>
            <w:proofErr w:type="spellEnd"/>
            <w:r w:rsidRPr="00E27862">
              <w:rPr>
                <w:iCs/>
                <w:color w:val="auto"/>
                <w:szCs w:val="28"/>
                <w:lang w:val="en-US"/>
              </w:rPr>
              <w:t xml:space="preserve"> </w:t>
            </w:r>
            <w:hyperlink r:id="rId25"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DB2557">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r w:rsidR="00A47A43" w:rsidRPr="00380251" w14:paraId="7A14AAF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4DA8" w14:textId="35DB5EEB" w:rsidR="00A47A43" w:rsidRPr="00E27862" w:rsidRDefault="00A47A43" w:rsidP="00A6450E">
            <w:pPr>
              <w:pStyle w:val="TableRow"/>
              <w:spacing w:after="120"/>
              <w:ind w:left="29"/>
              <w:rPr>
                <w:iCs/>
                <w:color w:val="auto"/>
                <w:szCs w:val="28"/>
                <w:lang w:val="en-US"/>
              </w:rPr>
            </w:pPr>
            <w:r>
              <w:rPr>
                <w:iCs/>
                <w:color w:val="auto"/>
                <w:szCs w:val="28"/>
                <w:lang w:val="en-US"/>
              </w:rPr>
              <w:t>Support for disadvantaged families with wraparound care</w:t>
            </w:r>
            <w:r w:rsidR="00BA163C">
              <w:rPr>
                <w:iCs/>
                <w:color w:val="auto"/>
                <w:szCs w:val="28"/>
                <w:lang w:val="en-US"/>
              </w:rPr>
              <w:t xml:space="preserve"> &amp; residential visits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F17C" w14:textId="77777777" w:rsidR="00A47A43" w:rsidRPr="00E27862" w:rsidRDefault="00A47A43" w:rsidP="00DB2557">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F884" w14:textId="41B11EBC" w:rsidR="00A47A43" w:rsidRPr="00E27862" w:rsidRDefault="00825241" w:rsidP="00DB2557">
            <w:pPr>
              <w:pStyle w:val="TableRowCentered"/>
              <w:jc w:val="left"/>
              <w:rPr>
                <w:color w:val="auto"/>
                <w:sz w:val="22"/>
              </w:rPr>
            </w:pPr>
            <w:r>
              <w:rPr>
                <w:color w:val="auto"/>
                <w:sz w:val="22"/>
              </w:rPr>
              <w:t>4, 5, 6</w:t>
            </w:r>
          </w:p>
        </w:tc>
      </w:tr>
    </w:tbl>
    <w:p w14:paraId="00291E16" w14:textId="77777777" w:rsidR="00877501" w:rsidRDefault="00877501" w:rsidP="00877501">
      <w:pPr>
        <w:spacing w:after="120"/>
        <w:rPr>
          <w:b/>
          <w:bCs/>
          <w:color w:val="104F75"/>
          <w:sz w:val="28"/>
          <w:szCs w:val="28"/>
        </w:rPr>
      </w:pPr>
    </w:p>
    <w:p w14:paraId="2A7D5541" w14:textId="2A1182F5" w:rsidR="00E66558" w:rsidRDefault="009D71E8" w:rsidP="00877501">
      <w:r>
        <w:rPr>
          <w:b/>
          <w:bCs/>
          <w:color w:val="104F75"/>
          <w:sz w:val="28"/>
          <w:szCs w:val="28"/>
        </w:rPr>
        <w:lastRenderedPageBreak/>
        <w:t xml:space="preserve">Total budgeted cost: </w:t>
      </w:r>
      <w:r w:rsidRPr="00E27862">
        <w:rPr>
          <w:b/>
          <w:bCs/>
          <w:color w:val="auto"/>
          <w:sz w:val="28"/>
          <w:szCs w:val="28"/>
        </w:rPr>
        <w:t>£</w:t>
      </w:r>
      <w:r w:rsidR="00A47A43">
        <w:rPr>
          <w:b/>
          <w:bCs/>
          <w:color w:val="auto"/>
          <w:sz w:val="28"/>
          <w:szCs w:val="28"/>
        </w:rPr>
        <w:t>91,324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0874E89A" w:rsidR="00F31D1D" w:rsidRPr="00E27862" w:rsidRDefault="00905DE7" w:rsidP="00905DE7">
            <w:pPr>
              <w:suppressAutoHyphens w:val="0"/>
              <w:autoSpaceDN/>
              <w:spacing w:before="120"/>
              <w:rPr>
                <w:color w:val="auto"/>
                <w:lang w:eastAsia="en-US"/>
              </w:rPr>
            </w:pPr>
            <w:r w:rsidRPr="00E27862">
              <w:rPr>
                <w:color w:val="auto"/>
                <w:lang w:eastAsia="en-US"/>
              </w:rPr>
              <w:t>Our internal</w:t>
            </w:r>
            <w:r w:rsidR="003A00EB" w:rsidRPr="00E27862">
              <w:rPr>
                <w:color w:val="auto"/>
                <w:lang w:eastAsia="en-US"/>
              </w:rPr>
              <w:t xml:space="preserve"> </w:t>
            </w:r>
            <w:r w:rsidR="000313D6" w:rsidRPr="00E27862">
              <w:rPr>
                <w:color w:val="auto"/>
                <w:lang w:eastAsia="en-US"/>
              </w:rPr>
              <w:t xml:space="preserve">assessments </w:t>
            </w:r>
            <w:r w:rsidRPr="00E27862">
              <w:rPr>
                <w:color w:val="auto"/>
                <w:lang w:eastAsia="en-US"/>
              </w:rPr>
              <w:t xml:space="preserve">during 2020/21 </w:t>
            </w:r>
            <w:r w:rsidR="00DA4032" w:rsidRPr="00E27862">
              <w:rPr>
                <w:color w:val="auto"/>
                <w:lang w:eastAsia="en-US"/>
              </w:rPr>
              <w:t>sugges</w:t>
            </w:r>
            <w:r w:rsidRPr="00E27862">
              <w:rPr>
                <w:color w:val="auto"/>
                <w:lang w:eastAsia="en-US"/>
              </w:rPr>
              <w:t>t</w:t>
            </w:r>
            <w:r w:rsidR="00546DAC" w:rsidRPr="00E27862">
              <w:rPr>
                <w:color w:val="auto"/>
                <w:lang w:eastAsia="en-US"/>
              </w:rPr>
              <w:t>ed</w:t>
            </w:r>
            <w:r w:rsidRPr="00E27862">
              <w:rPr>
                <w:color w:val="auto"/>
                <w:lang w:eastAsia="en-US"/>
              </w:rPr>
              <w:t xml:space="preserve"> that </w:t>
            </w:r>
            <w:r w:rsidR="008055CE" w:rsidRPr="00E27862">
              <w:rPr>
                <w:color w:val="auto"/>
                <w:lang w:eastAsia="en-US"/>
              </w:rPr>
              <w:t>the performance</w:t>
            </w:r>
            <w:r w:rsidRPr="00E27862">
              <w:rPr>
                <w:color w:val="auto"/>
                <w:lang w:eastAsia="en-US"/>
              </w:rPr>
              <w:t xml:space="preserve"> </w:t>
            </w:r>
            <w:r w:rsidR="008055CE" w:rsidRPr="00E27862">
              <w:rPr>
                <w:color w:val="auto"/>
                <w:lang w:eastAsia="en-US"/>
              </w:rPr>
              <w:t xml:space="preserve">of </w:t>
            </w:r>
            <w:r w:rsidRPr="00E27862">
              <w:rPr>
                <w:color w:val="auto"/>
                <w:lang w:eastAsia="en-US"/>
              </w:rPr>
              <w:t xml:space="preserve">disadvantaged pupils </w:t>
            </w:r>
            <w:r w:rsidR="008055CE" w:rsidRPr="00E27862">
              <w:rPr>
                <w:color w:val="auto"/>
                <w:lang w:eastAsia="en-US"/>
              </w:rPr>
              <w:t>was</w:t>
            </w:r>
            <w:r w:rsidRPr="00E27862">
              <w:rPr>
                <w:color w:val="auto"/>
                <w:lang w:eastAsia="en-US"/>
              </w:rPr>
              <w:t xml:space="preserve"> lower than in the </w:t>
            </w:r>
            <w:r w:rsidR="00F34472" w:rsidRPr="00E27862">
              <w:rPr>
                <w:color w:val="auto"/>
                <w:lang w:eastAsia="en-US"/>
              </w:rPr>
              <w:t xml:space="preserve">previous </w:t>
            </w:r>
            <w:r w:rsidR="006576E2" w:rsidRPr="00E27862">
              <w:rPr>
                <w:color w:val="auto"/>
                <w:lang w:eastAsia="en-US"/>
              </w:rPr>
              <w:t>X</w:t>
            </w:r>
            <w:r w:rsidRPr="00E27862">
              <w:rPr>
                <w:color w:val="auto"/>
                <w:lang w:eastAsia="en-US"/>
              </w:rPr>
              <w:t xml:space="preserve"> years in </w:t>
            </w:r>
            <w:r w:rsidR="009D6E64" w:rsidRPr="00E27862">
              <w:rPr>
                <w:color w:val="auto"/>
                <w:lang w:eastAsia="en-US"/>
              </w:rPr>
              <w:t>key</w:t>
            </w:r>
            <w:r w:rsidRPr="00E27862">
              <w:rPr>
                <w:color w:val="auto"/>
                <w:lang w:eastAsia="en-US"/>
              </w:rPr>
              <w:t xml:space="preserve"> </w:t>
            </w:r>
            <w:r w:rsidR="009000B1" w:rsidRPr="00E27862">
              <w:rPr>
                <w:color w:val="auto"/>
                <w:lang w:eastAsia="en-US"/>
              </w:rPr>
              <w:t>areas</w:t>
            </w:r>
            <w:r w:rsidR="00D27B7B" w:rsidRPr="00E27862">
              <w:rPr>
                <w:color w:val="auto"/>
                <w:lang w:eastAsia="en-US"/>
              </w:rPr>
              <w:t xml:space="preserve"> of the curriculum</w:t>
            </w:r>
            <w:r w:rsidR="00427DF1" w:rsidRPr="00E27862">
              <w:rPr>
                <w:color w:val="auto"/>
                <w:lang w:eastAsia="en-US"/>
              </w:rPr>
              <w:t>.</w:t>
            </w:r>
            <w:r w:rsidRPr="00E27862">
              <w:rPr>
                <w:color w:val="auto"/>
                <w:lang w:eastAsia="en-US"/>
              </w:rPr>
              <w:t xml:space="preserve"> </w:t>
            </w:r>
            <w:r w:rsidR="00653500" w:rsidRPr="00E27862">
              <w:rPr>
                <w:color w:val="auto"/>
                <w:lang w:eastAsia="en-US"/>
              </w:rPr>
              <w:t xml:space="preserve">Despite being </w:t>
            </w:r>
            <w:r w:rsidR="001C4335">
              <w:rPr>
                <w:color w:val="auto"/>
                <w:lang w:eastAsia="en-US"/>
              </w:rPr>
              <w:t xml:space="preserve">almost </w:t>
            </w:r>
            <w:r w:rsidR="00653500" w:rsidRPr="00E27862">
              <w:rPr>
                <w:color w:val="auto"/>
                <w:lang w:eastAsia="en-US"/>
              </w:rPr>
              <w:t xml:space="preserve">on track during the first year </w:t>
            </w:r>
            <w:r w:rsidR="00241336" w:rsidRPr="00E27862">
              <w:rPr>
                <w:color w:val="auto"/>
                <w:lang w:eastAsia="en-US"/>
              </w:rPr>
              <w:t>(</w:t>
            </w:r>
            <w:r w:rsidR="00653500" w:rsidRPr="00E27862">
              <w:rPr>
                <w:color w:val="auto"/>
                <w:lang w:eastAsia="en-US"/>
              </w:rPr>
              <w:t>2018/19</w:t>
            </w:r>
            <w:r w:rsidR="001C4335">
              <w:rPr>
                <w:color w:val="auto"/>
                <w:lang w:eastAsia="en-US"/>
              </w:rPr>
              <w:t xml:space="preserve"> Reading/Writing/Maths combined for disadvantaged pupils was</w:t>
            </w:r>
            <w:r w:rsidR="005F5251">
              <w:rPr>
                <w:color w:val="auto"/>
                <w:lang w:eastAsia="en-US"/>
              </w:rPr>
              <w:t xml:space="preserve"> 63% compared to 71% Nationally),</w:t>
            </w:r>
            <w:r w:rsidR="001C4335">
              <w:rPr>
                <w:color w:val="auto"/>
                <w:lang w:eastAsia="en-US"/>
              </w:rPr>
              <w:t xml:space="preserve"> </w:t>
            </w:r>
            <w:r w:rsidR="00653500" w:rsidRPr="00E27862">
              <w:rPr>
                <w:color w:val="auto"/>
                <w:lang w:eastAsia="en-US"/>
              </w:rPr>
              <w:t xml:space="preserve">the outcomes we aimed to achieve in our previous strategy by the end of 2020/21 were </w:t>
            </w:r>
            <w:r w:rsidR="001A6031" w:rsidRPr="00E27862">
              <w:rPr>
                <w:color w:val="auto"/>
                <w:lang w:eastAsia="en-US"/>
              </w:rPr>
              <w:t xml:space="preserve">therefore </w:t>
            </w:r>
            <w:r w:rsidR="00653500" w:rsidRPr="00E27862">
              <w:rPr>
                <w:color w:val="auto"/>
                <w:lang w:eastAsia="en-US"/>
              </w:rPr>
              <w:t xml:space="preserve">not fully realised.  </w:t>
            </w:r>
          </w:p>
          <w:p w14:paraId="70F0AC50" w14:textId="19FEA224" w:rsidR="004B44EB" w:rsidRPr="00E27862" w:rsidRDefault="00905DE7" w:rsidP="00241C7E">
            <w:pPr>
              <w:suppressAutoHyphens w:val="0"/>
              <w:autoSpaceDN/>
              <w:spacing w:before="120"/>
              <w:rPr>
                <w:color w:val="auto"/>
                <w:lang w:eastAsia="en-US"/>
              </w:rPr>
            </w:pPr>
            <w:r w:rsidRPr="00E27862">
              <w:rPr>
                <w:color w:val="auto"/>
                <w:lang w:eastAsia="en-US"/>
              </w:rPr>
              <w:t>Our a</w:t>
            </w:r>
            <w:r w:rsidR="00D217BF" w:rsidRPr="00E27862">
              <w:rPr>
                <w:color w:val="auto"/>
                <w:lang w:eastAsia="en-US"/>
              </w:rPr>
              <w:t>ssessment</w:t>
            </w:r>
            <w:r w:rsidRPr="00E27862">
              <w:rPr>
                <w:color w:val="auto"/>
                <w:lang w:eastAsia="en-US"/>
              </w:rPr>
              <w:t xml:space="preserve"> of the reasons for th</w:t>
            </w:r>
            <w:r w:rsidR="00F31D1D" w:rsidRPr="00E27862">
              <w:rPr>
                <w:color w:val="auto"/>
                <w:lang w:eastAsia="en-US"/>
              </w:rPr>
              <w:t>ese</w:t>
            </w:r>
            <w:r w:rsidRPr="00E27862">
              <w:rPr>
                <w:color w:val="auto"/>
                <w:lang w:eastAsia="en-US"/>
              </w:rPr>
              <w:t xml:space="preserve"> outcome</w:t>
            </w:r>
            <w:r w:rsidR="00F31D1D" w:rsidRPr="00E27862">
              <w:rPr>
                <w:color w:val="auto"/>
                <w:lang w:eastAsia="en-US"/>
              </w:rPr>
              <w:t>s</w:t>
            </w:r>
            <w:r w:rsidRPr="00E27862">
              <w:rPr>
                <w:color w:val="auto"/>
                <w:lang w:eastAsia="en-US"/>
              </w:rPr>
              <w:t xml:space="preserve"> point</w:t>
            </w:r>
            <w:r w:rsidR="00FD66E1" w:rsidRPr="00E27862">
              <w:rPr>
                <w:color w:val="auto"/>
                <w:lang w:eastAsia="en-US"/>
              </w:rPr>
              <w:t>s</w:t>
            </w:r>
            <w:r w:rsidR="0047631B" w:rsidRPr="00E27862">
              <w:rPr>
                <w:color w:val="auto"/>
                <w:lang w:eastAsia="en-US"/>
              </w:rPr>
              <w:t xml:space="preserve"> primarily</w:t>
            </w:r>
            <w:r w:rsidRPr="00E27862">
              <w:rPr>
                <w:color w:val="auto"/>
                <w:lang w:eastAsia="en-US"/>
              </w:rPr>
              <w:t xml:space="preserve"> to Covid-19 impact, which disrupted all our subject areas to varying degrees</w:t>
            </w:r>
            <w:r w:rsidR="00B523DD" w:rsidRPr="00E27862">
              <w:rPr>
                <w:color w:val="auto"/>
                <w:lang w:eastAsia="en-US"/>
              </w:rPr>
              <w:t>.</w:t>
            </w:r>
            <w:r w:rsidR="008F672B" w:rsidRPr="00E27862">
              <w:rPr>
                <w:color w:val="auto"/>
                <w:lang w:eastAsia="en-US"/>
              </w:rPr>
              <w:t xml:space="preserve"> </w:t>
            </w:r>
            <w:r w:rsidR="00081EDE" w:rsidRPr="00E27862">
              <w:rPr>
                <w:color w:val="auto"/>
                <w:lang w:eastAsia="en-US"/>
              </w:rPr>
              <w:t xml:space="preserve">As </w:t>
            </w:r>
            <w:r w:rsidR="006B477F" w:rsidRPr="00E27862">
              <w:rPr>
                <w:color w:val="auto"/>
                <w:lang w:eastAsia="en-US"/>
              </w:rPr>
              <w:t>evidenced</w:t>
            </w:r>
            <w:r w:rsidR="00081EDE" w:rsidRPr="00E27862">
              <w:rPr>
                <w:color w:val="auto"/>
                <w:lang w:eastAsia="en-US"/>
              </w:rPr>
              <w:t xml:space="preserve"> </w:t>
            </w:r>
            <w:r w:rsidR="00BE5CA8" w:rsidRPr="00E27862">
              <w:rPr>
                <w:color w:val="auto"/>
                <w:lang w:eastAsia="en-US"/>
              </w:rPr>
              <w:t xml:space="preserve">in schools </w:t>
            </w:r>
            <w:r w:rsidR="00081EDE" w:rsidRPr="00E27862">
              <w:rPr>
                <w:color w:val="auto"/>
                <w:lang w:eastAsia="en-US"/>
              </w:rPr>
              <w:t>across the country, s</w:t>
            </w:r>
            <w:r w:rsidR="00174105" w:rsidRPr="00E27862">
              <w:rPr>
                <w:color w:val="auto"/>
                <w:lang w:eastAsia="en-US"/>
              </w:rPr>
              <w:t>chool closure</w:t>
            </w:r>
            <w:r w:rsidR="00081EDE" w:rsidRPr="00E27862">
              <w:rPr>
                <w:color w:val="auto"/>
                <w:lang w:eastAsia="en-US"/>
              </w:rPr>
              <w:t xml:space="preserve"> </w:t>
            </w:r>
            <w:r w:rsidR="00076244" w:rsidRPr="00E27862">
              <w:rPr>
                <w:color w:val="auto"/>
                <w:lang w:eastAsia="en-US"/>
              </w:rPr>
              <w:t>w</w:t>
            </w:r>
            <w:r w:rsidR="006B477F" w:rsidRPr="00E27862">
              <w:rPr>
                <w:color w:val="auto"/>
                <w:lang w:eastAsia="en-US"/>
              </w:rPr>
              <w:t>as</w:t>
            </w:r>
            <w:r w:rsidR="008F672B" w:rsidRPr="00E27862">
              <w:rPr>
                <w:color w:val="auto"/>
                <w:lang w:eastAsia="en-US"/>
              </w:rPr>
              <w:t xml:space="preserve"> most detrimental </w:t>
            </w:r>
            <w:r w:rsidR="006B477F" w:rsidRPr="00E27862">
              <w:rPr>
                <w:color w:val="auto"/>
                <w:lang w:eastAsia="en-US"/>
              </w:rPr>
              <w:t>to</w:t>
            </w:r>
            <w:r w:rsidR="008F672B" w:rsidRPr="00E27862">
              <w:rPr>
                <w:color w:val="auto"/>
                <w:lang w:eastAsia="en-US"/>
              </w:rPr>
              <w:t xml:space="preserve"> </w:t>
            </w:r>
            <w:r w:rsidR="00BE5CA8" w:rsidRPr="00E27862">
              <w:rPr>
                <w:color w:val="auto"/>
                <w:lang w:eastAsia="en-US"/>
              </w:rPr>
              <w:t xml:space="preserve">our </w:t>
            </w:r>
            <w:r w:rsidR="008F672B" w:rsidRPr="00E27862">
              <w:rPr>
                <w:color w:val="auto"/>
                <w:lang w:eastAsia="en-US"/>
              </w:rPr>
              <w:t>disadvantaged pupils</w:t>
            </w:r>
            <w:r w:rsidR="00957196" w:rsidRPr="00E27862">
              <w:rPr>
                <w:color w:val="auto"/>
                <w:lang w:eastAsia="en-US"/>
              </w:rPr>
              <w:t xml:space="preserve">, </w:t>
            </w:r>
            <w:r w:rsidR="00585D94" w:rsidRPr="00E27862">
              <w:rPr>
                <w:color w:val="auto"/>
                <w:lang w:eastAsia="en-US"/>
              </w:rPr>
              <w:t>and they</w:t>
            </w:r>
            <w:r w:rsidR="00076244" w:rsidRPr="00E27862">
              <w:rPr>
                <w:color w:val="auto"/>
                <w:lang w:eastAsia="en-US"/>
              </w:rPr>
              <w:t xml:space="preserve"> </w:t>
            </w:r>
            <w:r w:rsidR="009F4686" w:rsidRPr="00E27862">
              <w:rPr>
                <w:color w:val="auto"/>
                <w:lang w:eastAsia="en-US"/>
              </w:rPr>
              <w:t>were not able to</w:t>
            </w:r>
            <w:r w:rsidR="00076244" w:rsidRPr="00E27862">
              <w:rPr>
                <w:color w:val="auto"/>
                <w:lang w:eastAsia="en-US"/>
              </w:rPr>
              <w:t xml:space="preserve"> benefit from </w:t>
            </w:r>
            <w:r w:rsidR="0027107A" w:rsidRPr="00E27862">
              <w:rPr>
                <w:color w:val="auto"/>
                <w:lang w:eastAsia="en-US"/>
              </w:rPr>
              <w:t>our</w:t>
            </w:r>
            <w:r w:rsidR="00BE5CA8" w:rsidRPr="00E27862">
              <w:rPr>
                <w:color w:val="auto"/>
                <w:lang w:eastAsia="en-US"/>
              </w:rPr>
              <w:t xml:space="preserve"> </w:t>
            </w:r>
            <w:r w:rsidR="009F4686" w:rsidRPr="00E27862">
              <w:rPr>
                <w:color w:val="auto"/>
                <w:lang w:eastAsia="en-US"/>
              </w:rPr>
              <w:t xml:space="preserve">pupil premium funded </w:t>
            </w:r>
            <w:r w:rsidR="008C4F85" w:rsidRPr="00E27862">
              <w:rPr>
                <w:color w:val="auto"/>
                <w:lang w:eastAsia="en-US"/>
              </w:rPr>
              <w:t>improvements to teaching</w:t>
            </w:r>
            <w:r w:rsidR="009F4686" w:rsidRPr="00E27862">
              <w:rPr>
                <w:color w:val="auto"/>
                <w:lang w:eastAsia="en-US"/>
              </w:rPr>
              <w:t xml:space="preserve"> </w:t>
            </w:r>
            <w:r w:rsidR="008C4F85" w:rsidRPr="00E27862">
              <w:rPr>
                <w:color w:val="auto"/>
                <w:lang w:eastAsia="en-US"/>
              </w:rPr>
              <w:t xml:space="preserve">and targeted interventions to the degree we </w:t>
            </w:r>
            <w:r w:rsidR="005A1E7D" w:rsidRPr="00E27862">
              <w:rPr>
                <w:color w:val="auto"/>
                <w:lang w:eastAsia="en-US"/>
              </w:rPr>
              <w:t xml:space="preserve">had </w:t>
            </w:r>
            <w:r w:rsidR="008C4F85" w:rsidRPr="00E27862">
              <w:rPr>
                <w:color w:val="auto"/>
                <w:lang w:eastAsia="en-US"/>
              </w:rPr>
              <w:t>intended</w:t>
            </w:r>
            <w:r w:rsidR="0027107A" w:rsidRPr="00E27862">
              <w:rPr>
                <w:color w:val="auto"/>
                <w:lang w:eastAsia="en-US"/>
              </w:rPr>
              <w:t xml:space="preserve">. </w:t>
            </w:r>
            <w:r w:rsidR="00671F69" w:rsidRPr="00E27862">
              <w:rPr>
                <w:color w:val="auto"/>
                <w:lang w:eastAsia="en-US"/>
              </w:rPr>
              <w:t>The impact was mitigated by our resolution to maintain a high quality curriculum</w:t>
            </w:r>
            <w:r w:rsidR="006D70CD" w:rsidRPr="00E27862">
              <w:rPr>
                <w:color w:val="auto"/>
                <w:lang w:eastAsia="en-US"/>
              </w:rPr>
              <w:t>, including</w:t>
            </w:r>
            <w:r w:rsidR="00246AE7" w:rsidRPr="00E27862">
              <w:rPr>
                <w:color w:val="auto"/>
                <w:lang w:eastAsia="en-US"/>
              </w:rPr>
              <w:t xml:space="preserve"> during periods of partial closure, which </w:t>
            </w:r>
            <w:r w:rsidR="00F736D7" w:rsidRPr="00E27862">
              <w:rPr>
                <w:color w:val="auto"/>
                <w:lang w:eastAsia="en-US"/>
              </w:rPr>
              <w:t>w</w:t>
            </w:r>
            <w:r w:rsidR="00897E55" w:rsidRPr="00E27862">
              <w:rPr>
                <w:color w:val="auto"/>
                <w:lang w:eastAsia="en-US"/>
              </w:rPr>
              <w:t xml:space="preserve">as </w:t>
            </w:r>
            <w:r w:rsidR="008C04E1" w:rsidRPr="00E27862">
              <w:rPr>
                <w:color w:val="auto"/>
                <w:lang w:eastAsia="en-US"/>
              </w:rPr>
              <w:t>aided</w:t>
            </w:r>
            <w:r w:rsidR="00897E55" w:rsidRPr="00E27862">
              <w:rPr>
                <w:color w:val="auto"/>
                <w:lang w:eastAsia="en-US"/>
              </w:rPr>
              <w:t xml:space="preserve"> by use of </w:t>
            </w:r>
            <w:r w:rsidR="00585D94" w:rsidRPr="00E27862">
              <w:rPr>
                <w:color w:val="auto"/>
                <w:lang w:eastAsia="en-US"/>
              </w:rPr>
              <w:t xml:space="preserve">online resources such as </w:t>
            </w:r>
            <w:r w:rsidR="003F000C" w:rsidRPr="00E27862">
              <w:rPr>
                <w:color w:val="auto"/>
                <w:lang w:eastAsia="en-US"/>
              </w:rPr>
              <w:t xml:space="preserve">those provided by </w:t>
            </w:r>
            <w:r w:rsidR="00897E55" w:rsidRPr="00E27862">
              <w:rPr>
                <w:color w:val="auto"/>
                <w:lang w:eastAsia="en-US"/>
              </w:rPr>
              <w:t xml:space="preserve">Oak </w:t>
            </w:r>
            <w:r w:rsidR="00564C00" w:rsidRPr="00E27862">
              <w:rPr>
                <w:color w:val="auto"/>
                <w:lang w:eastAsia="en-US"/>
              </w:rPr>
              <w:t xml:space="preserve">National </w:t>
            </w:r>
            <w:r w:rsidR="00897E55" w:rsidRPr="00E27862">
              <w:rPr>
                <w:color w:val="auto"/>
                <w:lang w:eastAsia="en-US"/>
              </w:rPr>
              <w:t>Academy</w:t>
            </w:r>
            <w:r w:rsidR="00585D94" w:rsidRPr="00E27862">
              <w:rPr>
                <w:color w:val="auto"/>
                <w:lang w:eastAsia="en-US"/>
              </w:rPr>
              <w:t>.</w:t>
            </w:r>
          </w:p>
          <w:p w14:paraId="73377F9A" w14:textId="3044DC19" w:rsidR="00534899" w:rsidRPr="00E27862" w:rsidRDefault="00534899" w:rsidP="00F11B80">
            <w:pPr>
              <w:suppressAutoHyphens w:val="0"/>
              <w:autoSpaceDN/>
              <w:rPr>
                <w:color w:val="auto"/>
                <w:lang w:eastAsia="en-US"/>
              </w:rPr>
            </w:pPr>
            <w:r w:rsidRPr="000C63A9">
              <w:rPr>
                <w:color w:val="auto"/>
                <w:lang w:eastAsia="en-US"/>
              </w:rPr>
              <w:t>Although ove</w:t>
            </w:r>
            <w:r w:rsidR="000C63A9" w:rsidRPr="000C63A9">
              <w:rPr>
                <w:color w:val="auto"/>
                <w:lang w:eastAsia="en-US"/>
              </w:rPr>
              <w:t>rall attendance in 2020/21 was higher</w:t>
            </w:r>
            <w:r w:rsidRPr="000C63A9">
              <w:rPr>
                <w:color w:val="auto"/>
                <w:lang w:eastAsia="en-US"/>
              </w:rPr>
              <w:t xml:space="preserve"> than in the </w:t>
            </w:r>
            <w:r w:rsidR="00EC1148" w:rsidRPr="000C63A9">
              <w:rPr>
                <w:color w:val="auto"/>
                <w:lang w:eastAsia="en-US"/>
              </w:rPr>
              <w:t>preceding</w:t>
            </w:r>
            <w:r w:rsidRPr="000C63A9">
              <w:rPr>
                <w:color w:val="auto"/>
                <w:lang w:eastAsia="en-US"/>
              </w:rPr>
              <w:t xml:space="preserve"> </w:t>
            </w:r>
            <w:r w:rsidR="000C63A9" w:rsidRPr="000C63A9">
              <w:rPr>
                <w:color w:val="auto"/>
                <w:lang w:eastAsia="en-US"/>
              </w:rPr>
              <w:t>2 years at 96.6</w:t>
            </w:r>
            <w:r w:rsidRPr="000C63A9">
              <w:rPr>
                <w:color w:val="auto"/>
                <w:lang w:eastAsia="en-US"/>
              </w:rPr>
              <w:t xml:space="preserve">%, it was higher than the national average. </w:t>
            </w:r>
            <w:r w:rsidR="00B97C8D" w:rsidRPr="000C63A9">
              <w:rPr>
                <w:color w:val="auto"/>
                <w:lang w:eastAsia="en-US"/>
              </w:rPr>
              <w:t>At times when all pupils were expected to attend school</w:t>
            </w:r>
            <w:r w:rsidRPr="000C63A9">
              <w:rPr>
                <w:color w:val="auto"/>
                <w:lang w:eastAsia="en-US"/>
              </w:rPr>
              <w:t xml:space="preserve">, absence </w:t>
            </w:r>
            <w:r w:rsidR="000C63A9" w:rsidRPr="000C63A9">
              <w:rPr>
                <w:color w:val="auto"/>
                <w:lang w:eastAsia="en-US"/>
              </w:rPr>
              <w:t>among disadvantaged pupils was 3</w:t>
            </w:r>
            <w:r w:rsidRPr="000C63A9">
              <w:rPr>
                <w:color w:val="auto"/>
                <w:lang w:eastAsia="en-US"/>
              </w:rPr>
              <w:t xml:space="preserve">% higher than their peers and persistent absence X% higher. </w:t>
            </w:r>
            <w:r w:rsidR="000C63A9" w:rsidRPr="000C63A9">
              <w:rPr>
                <w:color w:val="auto"/>
                <w:lang w:eastAsia="en-US"/>
              </w:rPr>
              <w:t>In 2021, Persistent Absence for disadvantaged pupils was 13.5%, for non-disadvantaged, PA was 8.1%.This gap of 5.4% is</w:t>
            </w:r>
            <w:r w:rsidRPr="000C63A9">
              <w:rPr>
                <w:color w:val="auto"/>
                <w:lang w:eastAsia="en-US"/>
              </w:rPr>
              <w:t xml:space="preserve"> larger than in previous years, which is why attendance is a focus of our current plan.</w:t>
            </w:r>
            <w:r w:rsidRPr="00E27862">
              <w:rPr>
                <w:color w:val="auto"/>
                <w:lang w:eastAsia="en-US"/>
              </w:rPr>
              <w:t xml:space="preserve">     </w:t>
            </w:r>
          </w:p>
          <w:p w14:paraId="2A7D5546" w14:textId="78BDD72E"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6D6CEA" w:rsidRPr="00E27862">
              <w:rPr>
                <w:color w:val="auto"/>
                <w:lang w:eastAsia="en-US"/>
              </w:rPr>
              <w:t xml:space="preserve">were </w:t>
            </w:r>
            <w:r w:rsidR="00541D37" w:rsidRPr="00E27862">
              <w:rPr>
                <w:color w:val="auto"/>
                <w:lang w:eastAsia="en-US"/>
              </w:rPr>
              <w:t>significantly</w:t>
            </w:r>
            <w:r w:rsidR="006D6CEA" w:rsidRPr="00E27862">
              <w:rPr>
                <w:color w:val="auto"/>
                <w:lang w:eastAsia="en-US"/>
              </w:rPr>
              <w:t xml:space="preserve"> </w:t>
            </w:r>
            <w:r w:rsidRPr="00E27862">
              <w:rPr>
                <w:color w:val="auto"/>
                <w:lang w:eastAsia="en-US"/>
              </w:rPr>
              <w:t xml:space="preserve">impacted last year, </w:t>
            </w:r>
            <w:r w:rsidR="00B25DD6" w:rsidRPr="00E27862">
              <w:rPr>
                <w:color w:val="auto"/>
                <w:lang w:eastAsia="en-US"/>
              </w:rPr>
              <w:t>primarily due to COVID-19</w:t>
            </w:r>
            <w:r w:rsidR="001D1AD6" w:rsidRPr="00E27862">
              <w:rPr>
                <w:color w:val="auto"/>
                <w:lang w:eastAsia="en-US"/>
              </w:rPr>
              <w:t>-related issues</w:t>
            </w:r>
            <w:r w:rsidR="00B25DD6" w:rsidRPr="00E27862">
              <w:rPr>
                <w:color w:val="auto"/>
                <w:lang w:eastAsia="en-US"/>
              </w:rPr>
              <w:t xml:space="preserve">. </w:t>
            </w:r>
            <w:r w:rsidR="001D1772" w:rsidRPr="00E27862">
              <w:rPr>
                <w:color w:val="auto"/>
                <w:lang w:eastAsia="en-US"/>
              </w:rPr>
              <w:t xml:space="preserve">The impact was particularly acute for disadvantaged pupils. </w:t>
            </w:r>
            <w:r w:rsidR="00B25DD6" w:rsidRPr="00E27862">
              <w:rPr>
                <w:color w:val="auto"/>
                <w:lang w:eastAsia="en-US"/>
              </w:rPr>
              <w:t xml:space="preserve">We </w:t>
            </w:r>
            <w:r w:rsidR="00D27F6E" w:rsidRPr="00E27862">
              <w:rPr>
                <w:color w:val="auto"/>
                <w:lang w:eastAsia="en-US"/>
              </w:rPr>
              <w:t>used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all pupils</w:t>
            </w:r>
            <w:r w:rsidR="00023D9A" w:rsidRPr="00E27862">
              <w:rPr>
                <w:color w:val="auto"/>
                <w:lang w:eastAsia="en-US"/>
              </w:rPr>
              <w:t xml:space="preserve">, and targeted interventions </w:t>
            </w:r>
            <w:r w:rsidR="00555245" w:rsidRPr="00E27862">
              <w:rPr>
                <w:color w:val="auto"/>
                <w:lang w:eastAsia="en-US"/>
              </w:rPr>
              <w:t xml:space="preserve">where </w:t>
            </w:r>
            <w:r w:rsidR="00564AEB" w:rsidRPr="00E27862">
              <w:rPr>
                <w:color w:val="auto"/>
                <w:lang w:eastAsia="en-US"/>
              </w:rPr>
              <w:t>required</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bookmarkEnd w:id="14"/>
      <w:bookmarkEnd w:id="15"/>
      <w:bookmarkEnd w:id="16"/>
    </w:tbl>
    <w:p w14:paraId="2A7D555F" w14:textId="77777777" w:rsidR="00E66558" w:rsidRDefault="00E66558">
      <w:pPr>
        <w:spacing w:after="0" w:line="240" w:lineRule="auto"/>
      </w:pPr>
    </w:p>
    <w:sectPr w:rsidR="00E66558">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F704" w14:textId="54C4679F" w:rsidR="009F7F12" w:rsidRDefault="009F7F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00582">
      <w:rPr>
        <w:caps/>
        <w:noProof/>
        <w:color w:val="4F81BD" w:themeColor="accent1"/>
      </w:rPr>
      <w:t>6</w:t>
    </w:r>
    <w:r>
      <w:rPr>
        <w:caps/>
        <w:noProof/>
        <w:color w:val="4F81BD" w:themeColor="accent1"/>
      </w:rPr>
      <w:fldChar w:fldCharType="end"/>
    </w:r>
  </w:p>
  <w:p w14:paraId="2A7D54BE" w14:textId="1A179CCE" w:rsidR="003529D4" w:rsidRDefault="003529D4" w:rsidP="00F8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64E9"/>
    <w:rsid w:val="000B72A4"/>
    <w:rsid w:val="000B7FA2"/>
    <w:rsid w:val="000C0846"/>
    <w:rsid w:val="000C0BDD"/>
    <w:rsid w:val="000C0DE4"/>
    <w:rsid w:val="000C1DD0"/>
    <w:rsid w:val="000C238F"/>
    <w:rsid w:val="000C241F"/>
    <w:rsid w:val="000C3954"/>
    <w:rsid w:val="000C3EAE"/>
    <w:rsid w:val="000C3FC9"/>
    <w:rsid w:val="000C5C92"/>
    <w:rsid w:val="000C63A9"/>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335"/>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459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C4F"/>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1CBF"/>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60AC"/>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492"/>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1FA7"/>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79E"/>
    <w:rsid w:val="00522D77"/>
    <w:rsid w:val="00523239"/>
    <w:rsid w:val="0052358C"/>
    <w:rsid w:val="00524178"/>
    <w:rsid w:val="00524C21"/>
    <w:rsid w:val="005254B0"/>
    <w:rsid w:val="00525EE1"/>
    <w:rsid w:val="00526A6A"/>
    <w:rsid w:val="005301AD"/>
    <w:rsid w:val="005305FA"/>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1990"/>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251"/>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3736"/>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B76EF"/>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0582"/>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192"/>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25241"/>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468"/>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67F6"/>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9F7F12"/>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47A4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9F0"/>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2D9"/>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684A"/>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163C"/>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A8D"/>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50B3"/>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0777"/>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public/files/Publications/SEL/EEF_Social_and_Emotional_Learning.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phonics/" TargetMode="Externa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educationendowmentfoundation.org.uk/education-evidence/teaching-learning-toolkit/oral-language-interven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endowmentfoundation.org.uk/public/files/Publications/SEL/EEF_Social_and_Emotional_Lear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3381-3D29-432E-8356-9A75E7F3FFD4}">
  <ds:schemaRefs>
    <ds:schemaRef ds:uri="http://purl.org/dc/dcmitype/"/>
    <ds:schemaRef ds:uri="http://schemas.openxmlformats.org/package/2006/metadata/core-properties"/>
    <ds:schemaRef ds:uri="fc4813a7-6522-4e15-89a2-8c9508ac84b8"/>
    <ds:schemaRef ds:uri="f65edd37-60b1-4ef0-a8b9-99e1686f0dda"/>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43129A3F-6F79-460B-98E8-37A27448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17325</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Hunmanby Primary School Headteacher</cp:lastModifiedBy>
  <cp:revision>22</cp:revision>
  <cp:lastPrinted>2014-09-17T13:26:00Z</cp:lastPrinted>
  <dcterms:created xsi:type="dcterms:W3CDTF">2022-02-28T10:27:00Z</dcterms:created>
  <dcterms:modified xsi:type="dcterms:W3CDTF">2022-03-01T10:54:00Z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